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1520"/>
        <w:gridCol w:w="1611"/>
        <w:gridCol w:w="1500"/>
        <w:gridCol w:w="1137"/>
        <w:gridCol w:w="3286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301630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301630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2020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34F" w:rsidRDefault="008D634F" w:rsidP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</w:t>
            </w:r>
            <w:r w:rsidR="002648C8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IX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Ocupación y aprovechamiento de vía pública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83C79" w:rsidRDefault="008F5D3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:rsidR="009102B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Disposiciones Administrativas en Materia de Ingresos para el Municipio de Guanajuato, Gto., para el Ejercicio Fiscal 2019</w:t>
            </w:r>
          </w:p>
          <w:p w:rsidR="008D634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Art. 6 fracción X</w:t>
            </w:r>
            <w:r w:rsidR="002648C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IX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por uso </w:t>
            </w:r>
            <w:r w:rsidR="002648C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la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vía pública para </w:t>
            </w:r>
            <w:r w:rsidR="002648C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actividades de promoción comercial, por unidad por día.</w:t>
            </w:r>
          </w:p>
          <w:p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:rsidR="002648C8" w:rsidRDefault="002648C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9102BF" w:rsidRDefault="002648C8" w:rsidP="002648C8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Art. 6 fracción X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IX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por uso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la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vía pública para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actividades de promoción comercial, por unidad por día.</w:t>
            </w:r>
          </w:p>
          <w:p w:rsidR="002648C8" w:rsidRPr="002648C8" w:rsidRDefault="002648C8" w:rsidP="002648C8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$203.00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97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18"/>
            </w:tblGrid>
            <w:tr w:rsidR="003E3DED" w:rsidTr="00FD32FB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:rsidR="00FD32FB" w:rsidRPr="00FD32FB" w:rsidRDefault="002648C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Permiso para uso de vía pública, </w:t>
                  </w:r>
                  <w:r w:rsidR="003E3DE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para exhibición y promoción de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</w:t>
                  </w:r>
                  <w:r w:rsidR="003E3DE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unidad 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veh</w:t>
                  </w:r>
                  <w:r w:rsidR="003E3DE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i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cul</w:t>
                  </w:r>
                  <w:r w:rsidR="003E3DED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ar, por día</w:t>
                  </w:r>
                  <w:r w:rsidR="00301630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 xml:space="preserve"> $400</w:t>
                  </w: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</w:tr>
            <w:tr w:rsidR="003E3DED" w:rsidTr="00FD32FB">
              <w:trPr>
                <w:trHeight w:val="100"/>
              </w:trPr>
              <w:tc>
                <w:tcPr>
                  <w:tcW w:w="5000" w:type="pct"/>
                  <w:noWrap/>
                  <w:vAlign w:val="bottom"/>
                </w:tcPr>
                <w:p w:rsidR="00FD32FB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3E3DED" w:rsidTr="00FD32FB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:rsidR="00FD32FB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781270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EA3E6C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Toda </w:t>
            </w:r>
            <w:r w:rsidR="00007643">
              <w:rPr>
                <w:rFonts w:ascii="Arial" w:hAnsi="Arial" w:cs="Arial"/>
              </w:rPr>
              <w:t xml:space="preserve">persona que </w:t>
            </w:r>
            <w:r w:rsidR="00781270">
              <w:rPr>
                <w:rFonts w:ascii="Arial" w:hAnsi="Arial" w:cs="Arial"/>
              </w:rPr>
              <w:t>tramita</w:t>
            </w:r>
            <w:r w:rsidR="003E3DED">
              <w:rPr>
                <w:rFonts w:ascii="Arial" w:hAnsi="Arial" w:cs="Arial"/>
              </w:rPr>
              <w:t xml:space="preserve"> permiso para ocupación de vía pública, para exhibición y promoción vehicular.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172E04" w:rsidRDefault="00351070" w:rsidP="00172E04">
            <w:pPr>
              <w:spacing w:line="240" w:lineRule="auto"/>
              <w:jc w:val="both"/>
            </w:pPr>
            <w:r>
              <w:t>Fuente de ingreso, la cual aún no se encuentra establecida como tal en las Disposiciones Administrativas.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351070" w:rsidP="00172E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ocupado de vía pública, trámites realizados y carencia de regulación específica.</w:t>
            </w:r>
          </w:p>
        </w:tc>
      </w:tr>
      <w:tr w:rsidR="009102BF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98"/>
              <w:gridCol w:w="1420"/>
            </w:tblGrid>
            <w:tr w:rsidR="009102BF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007643" w:rsidRDefault="00172E04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35107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400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 por unidad, por día.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A0706B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han ingresado </w:t>
            </w:r>
            <w:r w:rsidR="00351070">
              <w:rPr>
                <w:rFonts w:ascii="Arial" w:hAnsi="Arial" w:cs="Arial"/>
              </w:rPr>
              <w:t>en la mitad del año 14 peticiones para exhibiciones vehiculares, careciendo de especificaciones para su cobro se realiza por promoción comercial por día.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8A" w:rsidRDefault="00A0706B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es un aumento que represente un impacto, ya que </w:t>
            </w:r>
            <w:r w:rsidR="00351070">
              <w:rPr>
                <w:rFonts w:ascii="Arial" w:hAnsi="Arial" w:cs="Arial"/>
              </w:rPr>
              <w:t>va dirigido a contribuyentes que pertenecen al sector económico de la industria automotriz,</w:t>
            </w:r>
            <w:r w:rsidR="004474D6">
              <w:rPr>
                <w:rFonts w:ascii="Arial" w:hAnsi="Arial" w:cs="Arial"/>
              </w:rPr>
              <w:t xml:space="preserve"> con alcance y generación de mayores ganancias.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4474D6" w:rsidP="00F950E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contribuyentes tienen la suficiente solvencia económica, considerando el costo por venta de una unidad vehicular al costo por exhibición, es menos que mínimo.</w:t>
            </w:r>
          </w:p>
        </w:tc>
      </w:tr>
      <w:tr w:rsidR="009102BF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C095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impacto al contribuyente es mínimo, así como al usuario tampoco tendrá porque verse afectado.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C0957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informe el nuevo costo al contribuyente, revisando cumpla con los requisitos, en coordinación con las áreas que intervienen en el proceso para verificar la recaudación.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:rsidR="00552FA0" w:rsidRPr="00552FA0" w:rsidRDefault="00552FA0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Art. 6 fracción X</w:t>
            </w:r>
            <w:r w:rsidR="004474D6">
              <w:rPr>
                <w:rFonts w:ascii="Arial" w:hAnsi="Arial" w:cs="Arial"/>
                <w:bCs/>
              </w:rPr>
              <w:t>IX</w:t>
            </w:r>
            <w:r>
              <w:rPr>
                <w:rFonts w:ascii="Arial" w:hAnsi="Arial" w:cs="Arial"/>
                <w:bCs/>
              </w:rPr>
              <w:t xml:space="preserve"> de las Disposiciones Administrativas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:rsidR="001C737B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realizó un análisis </w:t>
            </w:r>
            <w:r w:rsidR="001C737B">
              <w:rPr>
                <w:rFonts w:ascii="Arial" w:hAnsi="Arial" w:cs="Arial"/>
              </w:rPr>
              <w:t xml:space="preserve">de la variación del impuesto, encontrando que no se impacta al contribuyente y si se </w:t>
            </w:r>
            <w:r w:rsidR="0095630F">
              <w:rPr>
                <w:rFonts w:ascii="Arial" w:hAnsi="Arial" w:cs="Arial"/>
              </w:rPr>
              <w:t>aumenta</w:t>
            </w:r>
            <w:r w:rsidR="001C737B">
              <w:rPr>
                <w:rFonts w:ascii="Arial" w:hAnsi="Arial" w:cs="Arial"/>
              </w:rPr>
              <w:t xml:space="preserve"> la recaudación.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:rsidR="00392DE4" w:rsidRPr="00392DE4" w:rsidRDefault="00392DE4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Dicha propuesta surge ya que en la instalación de </w:t>
            </w:r>
            <w:r w:rsidR="000F0001">
              <w:rPr>
                <w:rFonts w:ascii="Arial" w:hAnsi="Arial" w:cs="Arial"/>
                <w:bCs/>
              </w:rPr>
              <w:t>vehículos</w:t>
            </w:r>
            <w:r>
              <w:rPr>
                <w:rFonts w:ascii="Arial" w:hAnsi="Arial" w:cs="Arial"/>
                <w:bCs/>
              </w:rPr>
              <w:t xml:space="preserve"> hay que considerar el espacio que ocupan de vía pública y el mínimo de cobro</w:t>
            </w:r>
            <w:r w:rsidR="000F0001">
              <w:rPr>
                <w:rFonts w:ascii="Arial" w:hAnsi="Arial" w:cs="Arial"/>
                <w:bCs/>
              </w:rPr>
              <w:t xml:space="preserve"> así como la nula especificación en la Ley</w:t>
            </w:r>
            <w:r>
              <w:rPr>
                <w:rFonts w:ascii="Arial" w:hAnsi="Arial" w:cs="Arial"/>
                <w:bCs/>
              </w:rPr>
              <w:t>, requiriendo la colaboración de otras áreas de la Administración, como son vialidad para el cierre de calles</w:t>
            </w:r>
            <w:r w:rsidR="000F0001">
              <w:rPr>
                <w:rFonts w:ascii="Arial" w:hAnsi="Arial" w:cs="Arial"/>
                <w:bCs/>
              </w:rPr>
              <w:t>, así como la no afectación del patrimonio.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:rsidR="009102BF" w:rsidRPr="000F0001" w:rsidRDefault="00392DE4" w:rsidP="00FD4DEF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 pretende </w:t>
            </w:r>
            <w:r w:rsidR="000F0001">
              <w:rPr>
                <w:rFonts w:ascii="Arial" w:hAnsi="Arial" w:cs="Arial"/>
                <w:bCs/>
              </w:rPr>
              <w:t>regular este tipo de permisos, con ello</w:t>
            </w:r>
            <w:r>
              <w:rPr>
                <w:rFonts w:ascii="Arial" w:hAnsi="Arial" w:cs="Arial"/>
                <w:bCs/>
              </w:rPr>
              <w:t xml:space="preserve"> mejorando los ingresos al Municipio, sin perjudicar a</w:t>
            </w:r>
            <w:r w:rsidR="000F0001">
              <w:rPr>
                <w:rFonts w:ascii="Arial" w:hAnsi="Arial" w:cs="Arial"/>
                <w:bCs/>
              </w:rPr>
              <w:t xml:space="preserve"> terceros, a</w:t>
            </w:r>
            <w:r>
              <w:rPr>
                <w:rFonts w:ascii="Arial" w:hAnsi="Arial" w:cs="Arial"/>
                <w:bCs/>
              </w:rPr>
              <w:t>l contribuyente</w:t>
            </w:r>
            <w:r w:rsidR="00132FBD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ni los ingresos para el mismo.</w:t>
            </w:r>
          </w:p>
        </w:tc>
      </w:tr>
    </w:tbl>
    <w:p w:rsidR="009102BF" w:rsidRDefault="009102BF" w:rsidP="009102BF">
      <w:pPr>
        <w:rPr>
          <w:rFonts w:ascii="Arial" w:hAnsi="Arial" w:cs="Arial"/>
          <w:sz w:val="36"/>
          <w:szCs w:val="36"/>
        </w:rPr>
      </w:pPr>
    </w:p>
    <w:p w:rsidR="007F5AD1" w:rsidRPr="00A36846" w:rsidRDefault="00A36846" w:rsidP="00A36846">
      <w:pPr>
        <w:tabs>
          <w:tab w:val="left" w:pos="1578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>Actualmente no se encuentra especificado el cobro por colocación de vehículos para exhibición en vía pública, se regula mediante el cobro de p</w:t>
      </w:r>
      <w:r w:rsidRPr="00083C79">
        <w:rPr>
          <w:rFonts w:ascii="Arial" w:eastAsia="Times New Roman" w:hAnsi="Arial" w:cs="Arial"/>
          <w:sz w:val="20"/>
          <w:szCs w:val="20"/>
          <w:lang w:eastAsia="es-MX"/>
        </w:rPr>
        <w:t xml:space="preserve">ermiso por uso </w:t>
      </w:r>
      <w:r>
        <w:rPr>
          <w:rFonts w:ascii="Arial" w:eastAsia="Times New Roman" w:hAnsi="Arial" w:cs="Arial"/>
          <w:sz w:val="20"/>
          <w:szCs w:val="20"/>
          <w:lang w:eastAsia="es-MX"/>
        </w:rPr>
        <w:t>de la</w:t>
      </w:r>
      <w:r w:rsidRPr="00083C79">
        <w:rPr>
          <w:rFonts w:ascii="Arial" w:eastAsia="Times New Roman" w:hAnsi="Arial" w:cs="Arial"/>
          <w:sz w:val="20"/>
          <w:szCs w:val="20"/>
          <w:lang w:eastAsia="es-MX"/>
        </w:rPr>
        <w:t xml:space="preserve"> vía pública para </w:t>
      </w:r>
      <w:r>
        <w:rPr>
          <w:rFonts w:ascii="Arial" w:eastAsia="Times New Roman" w:hAnsi="Arial" w:cs="Arial"/>
          <w:sz w:val="20"/>
          <w:szCs w:val="20"/>
          <w:lang w:eastAsia="es-MX"/>
        </w:rPr>
        <w:t xml:space="preserve">realizar actividades de promoción comercial, por unidad por día $203.00, habrá que especificar la tarifa por 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Permiso para uso de vía pública, para exhibición y promoción de unidad vehicular, con un costo de $406.00 proponiendo esto, considerando el factor humano, es decir, el trabajo realizado por personal de inspección asignando el espacio a ocupar y las inspecciones constantes a la zona, así como no sólo es función de inspección sino también de personal de seguridad, ya que en múltiples 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lastRenderedPageBreak/>
        <w:t>ocasiones se pide el apoyo de Seguridad Pública, requiriend</w:t>
      </w:r>
      <w:r w:rsidR="007C068F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o al menos 2 personas por turno;</w:t>
      </w: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aunado a ello el trabajo administrativo, siendo una persona encargada de la emisión de estos permisos así como la verificación de disponibilidad de espacios. </w:t>
      </w:r>
    </w:p>
    <w:sectPr w:rsidR="007F5AD1" w:rsidRPr="00A36846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2C" w:rsidRDefault="001C112C" w:rsidP="00826AB6">
      <w:pPr>
        <w:spacing w:after="0" w:line="240" w:lineRule="auto"/>
      </w:pPr>
      <w:r>
        <w:separator/>
      </w:r>
    </w:p>
  </w:endnote>
  <w:endnote w:type="continuationSeparator" w:id="0">
    <w:p w:rsidR="001C112C" w:rsidRDefault="001C112C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egoe UI"/>
    <w:panose1 w:val="020B0502040204020203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2C" w:rsidRDefault="001C112C" w:rsidP="00826AB6">
      <w:pPr>
        <w:spacing w:after="0" w:line="240" w:lineRule="auto"/>
      </w:pPr>
      <w:r>
        <w:separator/>
      </w:r>
    </w:p>
  </w:footnote>
  <w:footnote w:type="continuationSeparator" w:id="0">
    <w:p w:rsidR="001C112C" w:rsidRDefault="001C112C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6712"/>
    <w:rsid w:val="00007643"/>
    <w:rsid w:val="0001785F"/>
    <w:rsid w:val="00046624"/>
    <w:rsid w:val="00067889"/>
    <w:rsid w:val="00081F05"/>
    <w:rsid w:val="00083C79"/>
    <w:rsid w:val="00085038"/>
    <w:rsid w:val="00091010"/>
    <w:rsid w:val="00091C4E"/>
    <w:rsid w:val="000A084B"/>
    <w:rsid w:val="000A3FCE"/>
    <w:rsid w:val="000B727B"/>
    <w:rsid w:val="000D49CD"/>
    <w:rsid w:val="000E3B32"/>
    <w:rsid w:val="000E6F98"/>
    <w:rsid w:val="000F0001"/>
    <w:rsid w:val="0011204A"/>
    <w:rsid w:val="00116544"/>
    <w:rsid w:val="00116764"/>
    <w:rsid w:val="00132FBD"/>
    <w:rsid w:val="001351FE"/>
    <w:rsid w:val="001532D0"/>
    <w:rsid w:val="001600E8"/>
    <w:rsid w:val="00172E04"/>
    <w:rsid w:val="001A0A77"/>
    <w:rsid w:val="001A1DDA"/>
    <w:rsid w:val="001A24A9"/>
    <w:rsid w:val="001C112C"/>
    <w:rsid w:val="001C6E6B"/>
    <w:rsid w:val="001C737B"/>
    <w:rsid w:val="001E0130"/>
    <w:rsid w:val="001E1117"/>
    <w:rsid w:val="001E6A73"/>
    <w:rsid w:val="00200981"/>
    <w:rsid w:val="00216808"/>
    <w:rsid w:val="002648C8"/>
    <w:rsid w:val="002B2D7A"/>
    <w:rsid w:val="002B4B62"/>
    <w:rsid w:val="002D0A9A"/>
    <w:rsid w:val="002E41E1"/>
    <w:rsid w:val="00301630"/>
    <w:rsid w:val="003118BE"/>
    <w:rsid w:val="0033577E"/>
    <w:rsid w:val="00346990"/>
    <w:rsid w:val="00351070"/>
    <w:rsid w:val="003638E7"/>
    <w:rsid w:val="0037179E"/>
    <w:rsid w:val="00392DE4"/>
    <w:rsid w:val="003B636D"/>
    <w:rsid w:val="003E3DED"/>
    <w:rsid w:val="003E7C71"/>
    <w:rsid w:val="00402299"/>
    <w:rsid w:val="00411570"/>
    <w:rsid w:val="00416BAD"/>
    <w:rsid w:val="00423B5B"/>
    <w:rsid w:val="00424EFA"/>
    <w:rsid w:val="004474D6"/>
    <w:rsid w:val="00456736"/>
    <w:rsid w:val="0048043D"/>
    <w:rsid w:val="004907B0"/>
    <w:rsid w:val="00497B19"/>
    <w:rsid w:val="004B711E"/>
    <w:rsid w:val="004C2494"/>
    <w:rsid w:val="004C583F"/>
    <w:rsid w:val="004E4291"/>
    <w:rsid w:val="005026D6"/>
    <w:rsid w:val="00521247"/>
    <w:rsid w:val="00531DAD"/>
    <w:rsid w:val="00552FA0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2188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C27"/>
    <w:rsid w:val="00761333"/>
    <w:rsid w:val="00764BBE"/>
    <w:rsid w:val="00781270"/>
    <w:rsid w:val="00790B5B"/>
    <w:rsid w:val="00793203"/>
    <w:rsid w:val="007B5242"/>
    <w:rsid w:val="007C068F"/>
    <w:rsid w:val="007C157D"/>
    <w:rsid w:val="007C33D7"/>
    <w:rsid w:val="007D0E96"/>
    <w:rsid w:val="007D70C5"/>
    <w:rsid w:val="007E654F"/>
    <w:rsid w:val="007F5AD1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D634F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3CD6"/>
    <w:rsid w:val="00973855"/>
    <w:rsid w:val="009A2D8C"/>
    <w:rsid w:val="009C0957"/>
    <w:rsid w:val="009E0078"/>
    <w:rsid w:val="009E3F7E"/>
    <w:rsid w:val="009E5039"/>
    <w:rsid w:val="009F127A"/>
    <w:rsid w:val="00A0706B"/>
    <w:rsid w:val="00A26D71"/>
    <w:rsid w:val="00A36846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63824"/>
    <w:rsid w:val="00C66FE2"/>
    <w:rsid w:val="00C830ED"/>
    <w:rsid w:val="00CB69B6"/>
    <w:rsid w:val="00CC63FC"/>
    <w:rsid w:val="00CE3F11"/>
    <w:rsid w:val="00CE7AEC"/>
    <w:rsid w:val="00D2319B"/>
    <w:rsid w:val="00D448DF"/>
    <w:rsid w:val="00D60795"/>
    <w:rsid w:val="00D64BCB"/>
    <w:rsid w:val="00D8178B"/>
    <w:rsid w:val="00DA0BD4"/>
    <w:rsid w:val="00DA5FAB"/>
    <w:rsid w:val="00DE3011"/>
    <w:rsid w:val="00E054F3"/>
    <w:rsid w:val="00E06368"/>
    <w:rsid w:val="00E30054"/>
    <w:rsid w:val="00E3289D"/>
    <w:rsid w:val="00E449A4"/>
    <w:rsid w:val="00E52270"/>
    <w:rsid w:val="00E53AA3"/>
    <w:rsid w:val="00E56533"/>
    <w:rsid w:val="00E949FE"/>
    <w:rsid w:val="00EA3E6C"/>
    <w:rsid w:val="00EB7EC1"/>
    <w:rsid w:val="00ED28DF"/>
    <w:rsid w:val="00ED2FFA"/>
    <w:rsid w:val="00EF3768"/>
    <w:rsid w:val="00EF7496"/>
    <w:rsid w:val="00F202B1"/>
    <w:rsid w:val="00F3359F"/>
    <w:rsid w:val="00F64F4A"/>
    <w:rsid w:val="00F91A40"/>
    <w:rsid w:val="00F950E6"/>
    <w:rsid w:val="00FB2CD2"/>
    <w:rsid w:val="00FC3493"/>
    <w:rsid w:val="00FC59B2"/>
    <w:rsid w:val="00FD32FB"/>
    <w:rsid w:val="00FD33B6"/>
    <w:rsid w:val="00FD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9B2D4F6-766D-4B0D-BE37-865E2A20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9F74A-57F3-4256-A53F-39503A350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756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admin</cp:lastModifiedBy>
  <cp:revision>29</cp:revision>
  <cp:lastPrinted>2017-10-02T20:53:00Z</cp:lastPrinted>
  <dcterms:created xsi:type="dcterms:W3CDTF">2018-11-08T18:50:00Z</dcterms:created>
  <dcterms:modified xsi:type="dcterms:W3CDTF">2019-10-03T23:36:00Z</dcterms:modified>
</cp:coreProperties>
</file>