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1238"/>
        <w:gridCol w:w="1021"/>
        <w:gridCol w:w="2680"/>
      </w:tblGrid>
      <w:tr w:rsidR="009102BF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Default="009102BF" w:rsidP="00424EC9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 xml:space="preserve">Exposición 1 de </w:t>
            </w:r>
            <w:r w:rsidR="006F64A9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Default="009102BF" w:rsidP="00424EC9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EA3A58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2020</w:t>
            </w:r>
          </w:p>
        </w:tc>
      </w:tr>
      <w:tr w:rsidR="009102BF" w:rsidTr="009102BF">
        <w:trPr>
          <w:tblHeader/>
        </w:trPr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 w:rsidP="00424E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9102BF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Default="009102BF" w:rsidP="00424E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Municipio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Default="009102BF" w:rsidP="00424EC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Default="009102BF" w:rsidP="00424E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Artículo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Default="00DC635A" w:rsidP="00424E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Default="009102BF" w:rsidP="00424E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9102BF" w:rsidTr="009102BF">
        <w:trPr>
          <w:trHeight w:val="420"/>
          <w:tblHeader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 w:rsidP="00424E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 w:rsidP="00424EC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Default="009102BF" w:rsidP="00424E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Fracción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DC635A" w:rsidP="00424E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VI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BB6" w:rsidRPr="00945BB6" w:rsidRDefault="004F2D88" w:rsidP="00DC635A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Derechos </w:t>
            </w:r>
            <w:r w:rsidRPr="004F2D8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por servicios </w:t>
            </w:r>
            <w:r w:rsidRPr="00D6121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 </w:t>
            </w:r>
            <w:r w:rsidR="00D6121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arrastre y</w:t>
            </w:r>
            <w:r w:rsidR="00DC635A" w:rsidRPr="00D6121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pensión de vehículos infraccionados</w:t>
            </w:r>
          </w:p>
        </w:tc>
      </w:tr>
      <w:tr w:rsidR="009102BF" w:rsidTr="009102BF">
        <w:trPr>
          <w:trHeight w:val="24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 w:rsidP="00424EC9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 w:rsidP="00424EC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Default="009102BF" w:rsidP="00424EC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Inciso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BF" w:rsidRDefault="006F64A9" w:rsidP="00424EC9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No aplica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 w:rsidP="00424EC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 w:rsidP="00424EC9">
            <w:pPr>
              <w:pStyle w:val="Prrafodelista"/>
              <w:spacing w:line="240" w:lineRule="auto"/>
              <w:ind w:left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*</w:t>
            </w:r>
            <w:r>
              <w:rPr>
                <w:rFonts w:ascii="Arial" w:hAnsi="Arial" w:cs="Arial"/>
              </w:rPr>
              <w:t>Es la circunstancia o condición que da nacimiento a la obligación tributaria.</w:t>
            </w:r>
          </w:p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C9" w:rsidRDefault="00424EC9" w:rsidP="00424EC9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:rsidR="009102BF" w:rsidRDefault="008F5D3C" w:rsidP="00424EC9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Derivado del </w:t>
            </w:r>
            <w:r w:rsidR="00C31B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Artículo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2 de la Ley de Hacienda para los municipios del Estado de Guanajuato. Fracción I inciso A) Son contribuciones: los Impuestos, derechos y contribuciones especiales.</w:t>
            </w:r>
          </w:p>
          <w:p w:rsidR="00424EC9" w:rsidRDefault="00424EC9" w:rsidP="00424EC9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:rsidR="009102BF" w:rsidRDefault="00C31B79" w:rsidP="00DC635A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Y que en la Ley de Ingresos para el Municipio de Guanajuato, Guanajuato, para el ejercic</w:t>
            </w:r>
            <w:r w:rsidR="00EA3A5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io fiscal del año 2019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se indica en el </w:t>
            </w:r>
            <w:r w:rsidRPr="004F2D88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Artículo </w:t>
            </w:r>
            <w:r w:rsidR="00DC635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5</w:t>
            </w:r>
            <w:r w:rsidR="006F64A9" w:rsidRPr="004F2D88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, fracción I.</w:t>
            </w:r>
            <w:r w:rsidRPr="004F2D88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F64A9" w:rsidRPr="00945BB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Por el</w:t>
            </w:r>
            <w:r w:rsidR="00D6121F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arrastre y</w:t>
            </w:r>
            <w:r w:rsidR="00DC635A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pensión de  vehículos infraccionados</w:t>
            </w:r>
            <w:r w:rsidR="00F80451" w:rsidRPr="00945BB6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.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 w:rsidP="00424EC9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 w:rsidP="00424EC9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424EC9" w:rsidRDefault="009102BF" w:rsidP="00424EC9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24EC9">
              <w:rPr>
                <w:rFonts w:ascii="Arial" w:hAnsi="Arial" w:cs="Arial"/>
                <w:b/>
                <w:sz w:val="20"/>
                <w:szCs w:val="20"/>
              </w:rPr>
              <w:t>Tasa o tarifa actual:</w:t>
            </w:r>
          </w:p>
          <w:p w:rsidR="009102BF" w:rsidRPr="00424EC9" w:rsidRDefault="009102BF" w:rsidP="00424EC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424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Las contenidas en la Ley vigente</w:t>
            </w:r>
          </w:p>
          <w:p w:rsidR="00173C8C" w:rsidRDefault="00DC635A" w:rsidP="00F261AA">
            <w:pPr>
              <w:spacing w:line="240" w:lineRule="auto"/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Artículo 5</w:t>
            </w:r>
            <w:r w:rsidR="00173C8C" w:rsidRPr="00424EC9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, fracción I.-</w:t>
            </w:r>
            <w:r w:rsidR="00173C8C" w:rsidRPr="00424EC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Por el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arrastre a pensión de vehículos infraccionado</w:t>
            </w:r>
            <w:r w:rsidR="00424EC9" w:rsidRPr="00424EC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D6121F">
              <w:rPr>
                <w:rFonts w:ascii="Arial" w:hAnsi="Arial" w:cs="Arial"/>
                <w:sz w:val="20"/>
                <w:szCs w:val="20"/>
              </w:rPr>
              <w:t>$700</w:t>
            </w:r>
            <w:r>
              <w:rPr>
                <w:rFonts w:ascii="Arial" w:hAnsi="Arial" w:cs="Arial"/>
                <w:sz w:val="20"/>
                <w:szCs w:val="20"/>
              </w:rPr>
              <w:t>.00</w:t>
            </w:r>
            <w:r w:rsidR="00424EC9" w:rsidRPr="00424E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121F">
              <w:rPr>
                <w:rFonts w:ascii="Arial" w:hAnsi="Arial" w:cs="Arial"/>
                <w:i/>
                <w:sz w:val="18"/>
                <w:szCs w:val="20"/>
              </w:rPr>
              <w:t>(</w:t>
            </w:r>
            <w:r w:rsidR="00755707">
              <w:rPr>
                <w:rFonts w:ascii="Arial" w:hAnsi="Arial" w:cs="Arial"/>
                <w:i/>
                <w:sz w:val="18"/>
                <w:szCs w:val="20"/>
              </w:rPr>
              <w:t>setecientos Pesos</w:t>
            </w:r>
            <w:r>
              <w:rPr>
                <w:rFonts w:ascii="Arial" w:hAnsi="Arial" w:cs="Arial"/>
                <w:i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20"/>
                <w:vertAlign w:val="superscript"/>
              </w:rPr>
              <w:t>00</w:t>
            </w:r>
            <w:r w:rsidR="00F261AA">
              <w:rPr>
                <w:rFonts w:ascii="Arial" w:hAnsi="Arial" w:cs="Arial"/>
                <w:i/>
                <w:sz w:val="18"/>
                <w:szCs w:val="20"/>
              </w:rPr>
              <w:t>/</w:t>
            </w:r>
            <w:r w:rsidR="00F261AA" w:rsidRPr="00F261AA">
              <w:rPr>
                <w:rFonts w:ascii="Arial" w:hAnsi="Arial" w:cs="Arial"/>
                <w:i/>
                <w:sz w:val="18"/>
                <w:szCs w:val="20"/>
                <w:vertAlign w:val="subscript"/>
              </w:rPr>
              <w:t>100</w:t>
            </w:r>
            <w:r w:rsidR="00F261AA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  <w:p w:rsidR="00F261AA" w:rsidRPr="00424EC9" w:rsidRDefault="00F261AA" w:rsidP="00F261A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 w:rsidP="00424EC9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:rsidTr="00EA3A58">
              <w:trPr>
                <w:trHeight w:val="300"/>
              </w:trPr>
              <w:tc>
                <w:tcPr>
                  <w:tcW w:w="4030" w:type="pct"/>
                  <w:vAlign w:val="center"/>
                  <w:hideMark/>
                </w:tcPr>
                <w:p w:rsidR="00B07B15" w:rsidRPr="00644501" w:rsidRDefault="001941CC" w:rsidP="00EA3A58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Se propone el i</w:t>
                  </w:r>
                  <w:r w:rsidR="00755707">
                    <w:rPr>
                      <w:rFonts w:ascii="Arial" w:hAnsi="Arial" w:cs="Arial"/>
                      <w:sz w:val="20"/>
                    </w:rPr>
                    <w:t xml:space="preserve">ncremento de tarifa al 131.023 </w:t>
                  </w:r>
                  <w:r w:rsidRPr="001941CC">
                    <w:rPr>
                      <w:rFonts w:ascii="Arial" w:hAnsi="Arial" w:cs="Arial"/>
                      <w:sz w:val="20"/>
                    </w:rPr>
                    <w:t>% (no aplicable a tasas) utilizado con base en el porcentaje de inflación y susceptible de ser modificado por el H. Congreso del Estado.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Default="009102BF" w:rsidP="00424E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:rsidTr="00644501">
              <w:trPr>
                <w:trHeight w:val="100"/>
              </w:trPr>
              <w:tc>
                <w:tcPr>
                  <w:tcW w:w="4030" w:type="pct"/>
                  <w:vAlign w:val="bottom"/>
                </w:tcPr>
                <w:p w:rsidR="009102BF" w:rsidRPr="00EA3E6C" w:rsidRDefault="009102BF" w:rsidP="00424E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Default="009102BF" w:rsidP="00424EC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:rsidTr="00C31B79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:rsidR="009102BF" w:rsidRPr="00EA3E6C" w:rsidRDefault="009102BF" w:rsidP="00424E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Default="009102BF" w:rsidP="00424EC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:rsidR="009102BF" w:rsidRDefault="009102BF" w:rsidP="00424EC9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007643" w:rsidRDefault="009102BF" w:rsidP="00424EC9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:rsidR="00007643" w:rsidRDefault="009102BF" w:rsidP="00424EC9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</w:p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D6121F">
              <w:rPr>
                <w:rFonts w:ascii="Arial" w:hAnsi="Arial" w:cs="Arial"/>
              </w:rPr>
              <w:t xml:space="preserve"> </w:t>
            </w:r>
            <w:r w:rsidR="00DC635A">
              <w:rPr>
                <w:rFonts w:ascii="Arial" w:hAnsi="Arial" w:cs="Arial"/>
              </w:rPr>
              <w:t>x producto</w:t>
            </w: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 w:rsidP="00424EC9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:rsidR="009102BF" w:rsidRDefault="009102BF" w:rsidP="00424EC9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007643" w:rsidRDefault="009102BF" w:rsidP="00424EC9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D6121F">
              <w:rPr>
                <w:rFonts w:ascii="Arial" w:hAnsi="Arial" w:cs="Arial"/>
              </w:rPr>
              <w:t xml:space="preserve"> </w:t>
            </w:r>
            <w:r w:rsidR="00DC635A">
              <w:rPr>
                <w:rFonts w:ascii="Arial" w:hAnsi="Arial" w:cs="Arial"/>
              </w:rPr>
              <w:t>x producto</w:t>
            </w: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 w:rsidP="00424EC9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EA3A58" w:rsidP="00DC635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Prestadores del Servicio </w:t>
            </w:r>
            <w:r w:rsidR="00D6121F">
              <w:rPr>
                <w:rFonts w:ascii="Arial" w:hAnsi="Arial" w:cs="Arial"/>
              </w:rPr>
              <w:t>de arrastre y</w:t>
            </w:r>
            <w:r w:rsidR="00DC635A">
              <w:rPr>
                <w:rFonts w:ascii="Arial" w:hAnsi="Arial" w:cs="Arial"/>
              </w:rPr>
              <w:t xml:space="preserve"> pensión de vehículos infraccionados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58" w:rsidRPr="00EA3A58" w:rsidRDefault="00564B3E" w:rsidP="00EA3A58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3A58">
              <w:rPr>
                <w:rFonts w:ascii="Arial" w:hAnsi="Arial" w:cs="Arial"/>
                <w:sz w:val="20"/>
                <w:szCs w:val="20"/>
              </w:rPr>
              <w:t xml:space="preserve">Con fundamento en el artículo </w:t>
            </w:r>
            <w:r w:rsidR="00EA3A58" w:rsidRPr="00EA3A58">
              <w:rPr>
                <w:rFonts w:ascii="Arial" w:hAnsi="Arial" w:cs="Arial"/>
                <w:sz w:val="20"/>
                <w:szCs w:val="20"/>
              </w:rPr>
              <w:t>115, fracción III, inciso i) y V, inciso h), de la Constitución Política de</w:t>
            </w:r>
            <w:r w:rsidR="008062B7">
              <w:rPr>
                <w:rFonts w:ascii="Arial" w:hAnsi="Arial" w:cs="Arial"/>
                <w:sz w:val="20"/>
                <w:szCs w:val="20"/>
              </w:rPr>
              <w:t xml:space="preserve"> los Estados Unidos Mexicanos</w:t>
            </w:r>
            <w:r w:rsidR="008062B7" w:rsidRPr="00EA3A58">
              <w:rPr>
                <w:rFonts w:ascii="Arial" w:hAnsi="Arial" w:cs="Arial"/>
                <w:sz w:val="20"/>
                <w:szCs w:val="20"/>
              </w:rPr>
              <w:t>, 117</w:t>
            </w:r>
            <w:r w:rsidR="00EA3A58" w:rsidRPr="00EA3A58">
              <w:rPr>
                <w:rFonts w:ascii="Arial" w:hAnsi="Arial" w:cs="Arial"/>
                <w:sz w:val="20"/>
                <w:szCs w:val="20"/>
              </w:rPr>
              <w:t>, fracción III, inciso i) de la Constitución Política para el Estado de Guanajuato</w:t>
            </w:r>
            <w:r w:rsidR="008062B7" w:rsidRPr="008062B7">
              <w:rPr>
                <w:rFonts w:ascii="Arial" w:hAnsi="Arial" w:cs="Arial"/>
                <w:sz w:val="20"/>
                <w:szCs w:val="20"/>
              </w:rPr>
              <w:t>,</w:t>
            </w:r>
            <w:r w:rsidRPr="00EA3A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273A">
              <w:rPr>
                <w:rFonts w:ascii="Arial" w:hAnsi="Arial" w:cs="Arial"/>
                <w:sz w:val="20"/>
                <w:szCs w:val="20"/>
              </w:rPr>
              <w:t>s</w:t>
            </w:r>
            <w:r w:rsidR="00EA3A58" w:rsidRPr="00EA3A58">
              <w:rPr>
                <w:rFonts w:ascii="Arial" w:hAnsi="Arial" w:cs="Arial"/>
                <w:sz w:val="20"/>
                <w:szCs w:val="20"/>
              </w:rPr>
              <w:t xml:space="preserve">e propone el incremento de tarifa al 4% (no aplicable a tasas) utilizado con base en el porcentaje de inflación </w:t>
            </w:r>
            <w:r w:rsidR="00EA3A58">
              <w:rPr>
                <w:rFonts w:ascii="Arial" w:hAnsi="Arial" w:cs="Arial"/>
                <w:sz w:val="20"/>
                <w:szCs w:val="20"/>
              </w:rPr>
              <w:t>aplicable anualmente.</w:t>
            </w:r>
          </w:p>
          <w:p w:rsidR="00EA3A58" w:rsidRPr="00EA3A58" w:rsidRDefault="00EA3A58" w:rsidP="00EA3A58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Pr="003F273A" w:rsidRDefault="003F273A" w:rsidP="00DC635A">
            <w:pPr>
              <w:spacing w:line="240" w:lineRule="auto"/>
              <w:rPr>
                <w:rFonts w:ascii="Arial" w:hAnsi="Arial" w:cs="Arial"/>
              </w:rPr>
            </w:pPr>
            <w:r w:rsidRPr="003F273A">
              <w:rPr>
                <w:rFonts w:ascii="Arial" w:hAnsi="Arial" w:cs="Arial"/>
              </w:rPr>
              <w:t>Derecho</w:t>
            </w:r>
            <w:r w:rsidR="00007643" w:rsidRPr="003F273A">
              <w:rPr>
                <w:rFonts w:ascii="Arial" w:hAnsi="Arial" w:cs="Arial"/>
              </w:rPr>
              <w:t xml:space="preserve"> </w:t>
            </w:r>
            <w:r w:rsidR="00D6121F">
              <w:rPr>
                <w:rFonts w:ascii="Arial" w:hAnsi="Arial" w:cs="Arial"/>
              </w:rPr>
              <w:t>de arrastre y</w:t>
            </w:r>
            <w:r w:rsidR="00DC635A">
              <w:rPr>
                <w:rFonts w:ascii="Arial" w:hAnsi="Arial" w:cs="Arial"/>
              </w:rPr>
              <w:t xml:space="preserve"> pensión de vehículo infraccionado</w:t>
            </w:r>
          </w:p>
        </w:tc>
      </w:tr>
      <w:tr w:rsidR="009102BF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5C" w:rsidRDefault="005D0E5C" w:rsidP="00424EC9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5C" w:rsidRDefault="005D0E5C"/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:rsidR="009102BF" w:rsidRPr="00007643" w:rsidRDefault="005A439F" w:rsidP="00DC635A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$ 700</w:t>
                  </w:r>
                  <w:r w:rsidR="003B60E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5D0E5C" w:rsidRPr="00424EC9">
                    <w:rPr>
                      <w:rFonts w:ascii="Arial" w:hAnsi="Arial" w:cs="Arial"/>
                      <w:i/>
                      <w:sz w:val="18"/>
                      <w:szCs w:val="20"/>
                    </w:rPr>
                    <w:t>(</w:t>
                  </w:r>
                  <w:r w:rsidR="00D6121F">
                    <w:rPr>
                      <w:rFonts w:ascii="Arial" w:hAnsi="Arial" w:cs="Arial"/>
                      <w:i/>
                      <w:sz w:val="18"/>
                      <w:szCs w:val="20"/>
                    </w:rPr>
                    <w:t>setecientos</w:t>
                  </w:r>
                  <w:r w:rsidR="005D0E5C">
                    <w:rPr>
                      <w:rFonts w:ascii="Arial" w:hAnsi="Arial" w:cs="Arial"/>
                      <w:i/>
                      <w:sz w:val="18"/>
                      <w:szCs w:val="20"/>
                    </w:rPr>
                    <w:t xml:space="preserve"> </w:t>
                  </w:r>
                  <w:r w:rsidR="003B60E4">
                    <w:rPr>
                      <w:rFonts w:ascii="Arial" w:hAnsi="Arial" w:cs="Arial"/>
                      <w:i/>
                      <w:sz w:val="18"/>
                      <w:szCs w:val="20"/>
                    </w:rPr>
                    <w:t xml:space="preserve"> </w:t>
                  </w:r>
                  <w:r w:rsidR="005D0E5C">
                    <w:rPr>
                      <w:rFonts w:ascii="Arial" w:hAnsi="Arial" w:cs="Arial"/>
                      <w:i/>
                      <w:sz w:val="18"/>
                      <w:szCs w:val="20"/>
                    </w:rPr>
                    <w:t xml:space="preserve">pesos </w:t>
                  </w:r>
                  <w:r w:rsidR="00DC635A">
                    <w:rPr>
                      <w:rFonts w:ascii="Arial" w:hAnsi="Arial" w:cs="Arial"/>
                      <w:i/>
                      <w:sz w:val="18"/>
                      <w:szCs w:val="20"/>
                      <w:vertAlign w:val="superscript"/>
                    </w:rPr>
                    <w:t>00</w:t>
                  </w:r>
                  <w:r w:rsidR="005D0E5C">
                    <w:rPr>
                      <w:rFonts w:ascii="Arial" w:hAnsi="Arial" w:cs="Arial"/>
                      <w:i/>
                      <w:sz w:val="18"/>
                      <w:szCs w:val="20"/>
                    </w:rPr>
                    <w:t>/</w:t>
                  </w:r>
                  <w:r w:rsidR="005D0E5C" w:rsidRPr="00F261AA">
                    <w:rPr>
                      <w:rFonts w:ascii="Arial" w:hAnsi="Arial" w:cs="Arial"/>
                      <w:i/>
                      <w:sz w:val="18"/>
                      <w:szCs w:val="20"/>
                      <w:vertAlign w:val="subscript"/>
                    </w:rPr>
                    <w:t>100</w:t>
                  </w:r>
                  <w:r w:rsidR="005D0E5C">
                    <w:rPr>
                      <w:rFonts w:ascii="Arial" w:hAnsi="Arial" w:cs="Arial"/>
                      <w:i/>
                      <w:sz w:val="18"/>
                      <w:szCs w:val="20"/>
                    </w:rPr>
                    <w:t>)</w:t>
                  </w:r>
                  <w:r w:rsidR="005D0E5C">
                    <w:rPr>
                      <w:rFonts w:ascii="Arial" w:hAnsi="Arial" w:cs="Arial"/>
                      <w:szCs w:val="20"/>
                    </w:rPr>
                    <w:t xml:space="preserve"> con un incremento del </w:t>
                  </w:r>
                  <w:r w:rsidR="00755707">
                    <w:rPr>
                      <w:rFonts w:ascii="Arial" w:hAnsi="Arial" w:cs="Arial"/>
                      <w:sz w:val="20"/>
                    </w:rPr>
                    <w:t xml:space="preserve">131.023 </w:t>
                  </w:r>
                  <w:r w:rsidR="005D0E5C" w:rsidRPr="005D0E5C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 xml:space="preserve">% </w:t>
                  </w:r>
                  <w:r w:rsidR="005D0E5C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 xml:space="preserve">anual </w:t>
                  </w:r>
                  <w:r w:rsidR="005D0E5C" w:rsidRPr="005D0E5C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(no aplicable a tasas) utilizado con base en el porcentaje de inflación</w:t>
                  </w:r>
                  <w:r w:rsidR="005D0E5C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 xml:space="preserve"> anual</w:t>
                  </w:r>
                  <w:r w:rsidR="005D0E5C" w:rsidRPr="005D0E5C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.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Default="009102BF" w:rsidP="00424E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:rsidR="009102BF" w:rsidRPr="00644501" w:rsidRDefault="009102BF" w:rsidP="00424E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Default="009102BF" w:rsidP="00424EC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:rsidR="009102BF" w:rsidRPr="00644501" w:rsidRDefault="009102BF" w:rsidP="00424E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:rsidR="009102BF" w:rsidRDefault="009102BF" w:rsidP="00424EC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 w:rsidP="00424EC9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Tipo de estudio para medir el</w:t>
            </w:r>
          </w:p>
          <w:p w:rsidR="009102BF" w:rsidRDefault="009102BF" w:rsidP="00424EC9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5D0E5C" w:rsidP="00424EC9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Datos oficiales generados por el </w:t>
            </w:r>
            <w:r w:rsidRPr="005D0E5C">
              <w:rPr>
                <w:rFonts w:ascii="Arial" w:hAnsi="Arial" w:cs="Arial"/>
              </w:rPr>
              <w:t>Instituto Nacional de Estadística y Geografía (INEGI)</w:t>
            </w:r>
            <w:r>
              <w:rPr>
                <w:rFonts w:ascii="Arial" w:hAnsi="Arial" w:cs="Arial"/>
              </w:rPr>
              <w:t>.</w:t>
            </w:r>
          </w:p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 w:rsidP="00424EC9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y alcances de la contribución:</w:t>
            </w:r>
          </w:p>
        </w:tc>
      </w:tr>
      <w:tr w:rsidR="00B62E50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50" w:rsidRDefault="00B62E50" w:rsidP="00B62E50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91C" w:rsidRPr="003C378F" w:rsidRDefault="00755707" w:rsidP="007A591C">
            <w:pPr>
              <w:shd w:val="clear" w:color="auto" w:fill="FFFFFF"/>
              <w:spacing w:after="101" w:line="240" w:lineRule="auto"/>
              <w:jc w:val="both"/>
              <w:rPr>
                <w:rFonts w:ascii="Arial" w:eastAsia="Times New Roman" w:hAnsi="Arial" w:cs="Arial"/>
                <w:color w:val="2F2F2F"/>
                <w:szCs w:val="18"/>
                <w:lang w:eastAsia="es-MX"/>
              </w:rPr>
            </w:pPr>
            <w:r>
              <w:rPr>
                <w:rFonts w:ascii="Arial" w:hAnsi="Arial" w:cs="Arial"/>
              </w:rPr>
              <w:t xml:space="preserve">El </w:t>
            </w:r>
            <w:r>
              <w:rPr>
                <w:rFonts w:ascii="Arial" w:hAnsi="Arial" w:cs="Arial"/>
                <w:sz w:val="20"/>
              </w:rPr>
              <w:t xml:space="preserve">131.023 </w:t>
            </w:r>
            <w:r w:rsidR="00B62E50">
              <w:rPr>
                <w:rFonts w:ascii="Arial" w:hAnsi="Arial" w:cs="Arial"/>
              </w:rPr>
              <w:t>% de incremento propuesto, no representa un impacto al contribuyente que adquiere una concesión, toda vez que la inflación anual presentada por el INEGI es</w:t>
            </w:r>
            <w:r w:rsidR="007A591C">
              <w:rPr>
                <w:rFonts w:ascii="Arial" w:hAnsi="Arial" w:cs="Arial"/>
              </w:rPr>
              <w:t xml:space="preserve"> igual o mayor que la propuesta,</w:t>
            </w:r>
            <w:r w:rsidR="007A591C" w:rsidRPr="003C378F">
              <w:rPr>
                <w:rFonts w:ascii="Arial" w:eastAsia="Times New Roman" w:hAnsi="Arial" w:cs="Arial"/>
                <w:color w:val="2F2F2F"/>
                <w:szCs w:val="18"/>
                <w:lang w:eastAsia="es-MX"/>
              </w:rPr>
              <w:t xml:space="preserve"> Los cobros establecidos en el tabulador de grúa que contiene la presente Base tarifaria se aplicarán tomando en consideración el kilometraje recorrido en el arrastre o del vehículo que sea objeto del servicio, desde el punto de enganche hasta su destino, considerando el rec</w:t>
            </w:r>
            <w:r w:rsidR="007A591C">
              <w:rPr>
                <w:rFonts w:ascii="Arial" w:eastAsia="Times New Roman" w:hAnsi="Arial" w:cs="Arial"/>
                <w:color w:val="2F2F2F"/>
                <w:szCs w:val="18"/>
                <w:lang w:eastAsia="es-MX"/>
              </w:rPr>
              <w:t>orrido al lugar de pensión</w:t>
            </w:r>
            <w:r w:rsidR="007A591C" w:rsidRPr="003C378F">
              <w:rPr>
                <w:rFonts w:ascii="Arial" w:eastAsia="Times New Roman" w:hAnsi="Arial" w:cs="Arial"/>
                <w:color w:val="2F2F2F"/>
                <w:szCs w:val="18"/>
                <w:lang w:eastAsia="es-MX"/>
              </w:rPr>
              <w:t>, En el cobro que se realice por kilómetro, las fracciones mayores a quinientos metros se consideran como un kilómetro, El costo del servicio de arrastre se integra por el cobro fijo por unidad de servicio "banderazo" y el factor de cobro por vehículo-kilómetro recorrido materialmente.</w:t>
            </w:r>
          </w:p>
          <w:p w:rsidR="00B62E50" w:rsidRDefault="00B62E50" w:rsidP="00B62E50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B62E50" w:rsidRDefault="00B62E50" w:rsidP="00B5525B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:rsidTr="009B7937">
        <w:trPr>
          <w:trHeight w:val="119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 w:rsidP="00424EC9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B7937" w:rsidP="00DD5E2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DD5E24">
              <w:rPr>
                <w:rFonts w:ascii="Arial" w:hAnsi="Arial" w:cs="Arial"/>
              </w:rPr>
              <w:t xml:space="preserve">La vigencia de </w:t>
            </w:r>
            <w:r w:rsidR="00DD5E24" w:rsidRPr="00DD5E24">
              <w:rPr>
                <w:rFonts w:ascii="Arial" w:hAnsi="Arial" w:cs="Arial"/>
              </w:rPr>
              <w:t xml:space="preserve">un arrastre a pensión de un vehículo infraccionado </w:t>
            </w:r>
            <w:r w:rsidRPr="00DD5E24">
              <w:rPr>
                <w:rFonts w:ascii="Arial" w:hAnsi="Arial" w:cs="Arial"/>
              </w:rPr>
              <w:t>por lo que el benefici</w:t>
            </w:r>
            <w:r w:rsidR="00DD5E24" w:rsidRPr="00DD5E24">
              <w:rPr>
                <w:rFonts w:ascii="Arial" w:hAnsi="Arial" w:cs="Arial"/>
              </w:rPr>
              <w:t>o es mayor en relación al pago</w:t>
            </w:r>
            <w:r w:rsidRPr="00DD5E24">
              <w:rPr>
                <w:rFonts w:ascii="Arial" w:hAnsi="Arial" w:cs="Arial"/>
              </w:rPr>
              <w:t>.</w:t>
            </w:r>
          </w:p>
        </w:tc>
      </w:tr>
      <w:tr w:rsidR="009102BF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EA3E6C" w:rsidP="00CE7ED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Evitar </w:t>
            </w:r>
            <w:r w:rsidR="005A2A6E">
              <w:rPr>
                <w:rFonts w:ascii="Arial" w:hAnsi="Arial" w:cs="Arial"/>
              </w:rPr>
              <w:t>a</w:t>
            </w:r>
            <w:r w:rsidR="009B7937">
              <w:rPr>
                <w:rFonts w:ascii="Arial" w:hAnsi="Arial" w:cs="Arial"/>
              </w:rPr>
              <w:t>umentos excesivos en los montos o co</w:t>
            </w:r>
            <w:r w:rsidR="00660C60">
              <w:rPr>
                <w:rFonts w:ascii="Arial" w:hAnsi="Arial" w:cs="Arial"/>
              </w:rPr>
              <w:t xml:space="preserve">nceptos por el pago de servicio de grúa </w:t>
            </w:r>
            <w:r w:rsidR="009B7937">
              <w:rPr>
                <w:rFonts w:ascii="Arial" w:hAnsi="Arial" w:cs="Arial"/>
              </w:rPr>
              <w:t>, esto basándose en la equidad o en la correlación que tiene la inflación anual presentada por el INEGI.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5A2A6E" w:rsidP="00950268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establecerá al momento de que se registre </w:t>
            </w:r>
            <w:r w:rsidR="00950268">
              <w:rPr>
                <w:rFonts w:ascii="Arial" w:hAnsi="Arial" w:cs="Arial"/>
              </w:rPr>
              <w:t>el pago en las cajas de la Tesorería Municipal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 w:rsidP="00424EC9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 w:rsidP="00424EC9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recaudación forma parte del gasto corriente con que cuenta el municipio para la prestación de los servicios públicos a su cargo. </w:t>
            </w:r>
          </w:p>
          <w:p w:rsidR="009102BF" w:rsidRDefault="009102BF" w:rsidP="00424EC9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660C60" w:rsidRDefault="00660C60" w:rsidP="00424EC9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Argumentación:</w:t>
            </w:r>
          </w:p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 w:rsidP="00424EC9">
            <w:pPr>
              <w:spacing w:line="240" w:lineRule="auto"/>
              <w:rPr>
                <w:rFonts w:ascii="Arial" w:hAnsi="Arial" w:cs="Arial"/>
              </w:rPr>
            </w:pPr>
          </w:p>
          <w:p w:rsidR="00A90A74" w:rsidRDefault="00A90A74" w:rsidP="00424EC9">
            <w:pPr>
              <w:spacing w:line="240" w:lineRule="auto"/>
              <w:rPr>
                <w:rFonts w:ascii="Arial" w:hAnsi="Arial" w:cs="Arial"/>
              </w:rPr>
            </w:pPr>
          </w:p>
          <w:p w:rsidR="00A90A74" w:rsidRDefault="00A90A74" w:rsidP="00424EC9">
            <w:pPr>
              <w:spacing w:line="240" w:lineRule="auto"/>
              <w:rPr>
                <w:rFonts w:ascii="Arial" w:hAnsi="Arial" w:cs="Arial"/>
              </w:rPr>
            </w:pPr>
          </w:p>
          <w:p w:rsidR="00A90A74" w:rsidRDefault="00A90A74" w:rsidP="00424EC9">
            <w:pPr>
              <w:spacing w:line="240" w:lineRule="auto"/>
              <w:rPr>
                <w:rFonts w:ascii="Arial" w:hAnsi="Arial" w:cs="Arial"/>
              </w:rPr>
            </w:pPr>
          </w:p>
          <w:p w:rsidR="00A90A74" w:rsidRDefault="00A90A74" w:rsidP="00424EC9">
            <w:pPr>
              <w:spacing w:line="240" w:lineRule="auto"/>
              <w:rPr>
                <w:rFonts w:ascii="Arial" w:hAnsi="Arial" w:cs="Arial"/>
              </w:rPr>
            </w:pPr>
          </w:p>
          <w:p w:rsidR="00A90A74" w:rsidRDefault="00A90A74" w:rsidP="00424EC9">
            <w:pPr>
              <w:spacing w:line="240" w:lineRule="auto"/>
              <w:rPr>
                <w:rFonts w:ascii="Arial" w:hAnsi="Arial" w:cs="Arial"/>
              </w:rPr>
            </w:pPr>
          </w:p>
          <w:p w:rsidR="00A90A74" w:rsidRDefault="00A90A74" w:rsidP="00424EC9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 w:rsidP="00424EC9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 w:rsidP="00AA7BB1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Antecedentes:</w:t>
            </w:r>
          </w:p>
          <w:p w:rsidR="00A90A74" w:rsidRPr="00A90A74" w:rsidRDefault="00A90A74" w:rsidP="004927D5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4927D5">
              <w:rPr>
                <w:rFonts w:ascii="Arial" w:hAnsi="Arial" w:cs="Arial"/>
              </w:rPr>
              <w:t xml:space="preserve">Con la finalidad de facilitar el cumplimiento oportuno de las </w:t>
            </w:r>
            <w:r w:rsidRPr="00A90A74">
              <w:rPr>
                <w:rFonts w:ascii="Arial" w:hAnsi="Arial" w:cs="Arial"/>
              </w:rPr>
              <w:t>obligaciones fiscales, ha establecido y desarrollado una serie de servicios basados en esquemas y procesos de atención</w:t>
            </w:r>
          </w:p>
          <w:p w:rsidR="00B77EDA" w:rsidRDefault="00B77EDA" w:rsidP="00B77ED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esto obedece al índice inflacionario presentado por el INEGI. </w:t>
            </w:r>
          </w:p>
          <w:p w:rsidR="009102BF" w:rsidRDefault="009102BF" w:rsidP="00AA7BB1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9102BF" w:rsidRDefault="009102BF" w:rsidP="00AA7BB1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AA7BB1" w:rsidRDefault="00AA7BB1" w:rsidP="00AA7BB1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AA7BB1" w:rsidRDefault="00AA7BB1" w:rsidP="00AA7BB1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AA7BB1" w:rsidRDefault="00AA7BB1" w:rsidP="00AA7BB1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9102BF" w:rsidRDefault="009102BF" w:rsidP="00AA7BB1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Consideraciones que soportan el cambio:</w:t>
            </w:r>
          </w:p>
          <w:p w:rsidR="001C737B" w:rsidRDefault="009102BF" w:rsidP="00AA7BB1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realizó un análisis </w:t>
            </w:r>
            <w:r w:rsidR="00AA7BB1">
              <w:rPr>
                <w:rFonts w:ascii="Arial" w:hAnsi="Arial" w:cs="Arial"/>
              </w:rPr>
              <w:t xml:space="preserve">del incremento </w:t>
            </w:r>
            <w:r w:rsidR="001C737B">
              <w:rPr>
                <w:rFonts w:ascii="Arial" w:hAnsi="Arial" w:cs="Arial"/>
              </w:rPr>
              <w:t xml:space="preserve">del </w:t>
            </w:r>
            <w:r w:rsidR="00755707">
              <w:rPr>
                <w:rFonts w:ascii="Arial" w:hAnsi="Arial" w:cs="Arial"/>
                <w:sz w:val="20"/>
              </w:rPr>
              <w:t xml:space="preserve">131.023 </w:t>
            </w:r>
            <w:proofErr w:type="gramStart"/>
            <w:r w:rsidR="00755707" w:rsidRPr="001941CC">
              <w:rPr>
                <w:rFonts w:ascii="Arial" w:hAnsi="Arial" w:cs="Arial"/>
                <w:sz w:val="20"/>
              </w:rPr>
              <w:t xml:space="preserve">% </w:t>
            </w:r>
            <w:r w:rsidR="00AA7BB1">
              <w:rPr>
                <w:rFonts w:ascii="Arial" w:hAnsi="Arial" w:cs="Arial"/>
              </w:rPr>
              <w:t xml:space="preserve"> anual</w:t>
            </w:r>
            <w:proofErr w:type="gramEnd"/>
            <w:r w:rsidR="001C737B">
              <w:rPr>
                <w:rFonts w:ascii="Arial" w:hAnsi="Arial" w:cs="Arial"/>
              </w:rPr>
              <w:t xml:space="preserve">, encontrando que no se impacta al </w:t>
            </w:r>
            <w:r w:rsidR="00AA7BB1">
              <w:rPr>
                <w:rFonts w:ascii="Arial" w:hAnsi="Arial" w:cs="Arial"/>
              </w:rPr>
              <w:t xml:space="preserve">prestador del servicio </w:t>
            </w:r>
            <w:r w:rsidR="001C737B">
              <w:rPr>
                <w:rFonts w:ascii="Arial" w:hAnsi="Arial" w:cs="Arial"/>
              </w:rPr>
              <w:t xml:space="preserve">y si se </w:t>
            </w:r>
            <w:r w:rsidR="0095630F">
              <w:rPr>
                <w:rFonts w:ascii="Arial" w:hAnsi="Arial" w:cs="Arial"/>
              </w:rPr>
              <w:t>aumenta</w:t>
            </w:r>
            <w:r w:rsidR="00AA7BB1">
              <w:rPr>
                <w:rFonts w:ascii="Arial" w:hAnsi="Arial" w:cs="Arial"/>
              </w:rPr>
              <w:t xml:space="preserve"> la recaudación, ya que esto obedece al índice inflacionario presentado por el INEGI. </w:t>
            </w:r>
          </w:p>
          <w:p w:rsidR="00AA7BB1" w:rsidRDefault="00AA7BB1" w:rsidP="00AA7BB1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9102BF" w:rsidRDefault="009102BF" w:rsidP="00AA7BB1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Propuesta de modificación:</w:t>
            </w:r>
          </w:p>
          <w:p w:rsidR="009102BF" w:rsidRDefault="001C737B" w:rsidP="00AA7BB1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propone </w:t>
            </w:r>
            <w:r w:rsidR="00D572EF">
              <w:rPr>
                <w:rFonts w:ascii="Arial" w:hAnsi="Arial" w:cs="Arial"/>
              </w:rPr>
              <w:t>q</w:t>
            </w:r>
            <w:r w:rsidR="00B77EDA">
              <w:rPr>
                <w:rFonts w:ascii="Arial" w:hAnsi="Arial" w:cs="Arial"/>
              </w:rPr>
              <w:t xml:space="preserve">ue el </w:t>
            </w:r>
            <w:r w:rsidR="00755707">
              <w:rPr>
                <w:rFonts w:ascii="Arial" w:hAnsi="Arial" w:cs="Arial"/>
              </w:rPr>
              <w:t xml:space="preserve">incremento anual sea del </w:t>
            </w:r>
            <w:r w:rsidR="00755707">
              <w:rPr>
                <w:rFonts w:ascii="Arial" w:hAnsi="Arial" w:cs="Arial"/>
                <w:sz w:val="20"/>
              </w:rPr>
              <w:t xml:space="preserve">131.023 </w:t>
            </w:r>
            <w:r w:rsidR="00755707" w:rsidRPr="001941CC">
              <w:rPr>
                <w:rFonts w:ascii="Arial" w:hAnsi="Arial" w:cs="Arial"/>
                <w:sz w:val="20"/>
              </w:rPr>
              <w:t>%</w:t>
            </w:r>
            <w:bookmarkStart w:id="0" w:name="_GoBack"/>
            <w:bookmarkEnd w:id="0"/>
          </w:p>
          <w:p w:rsidR="009102BF" w:rsidRDefault="009102BF" w:rsidP="00AA7BB1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9102BF" w:rsidRDefault="009102BF" w:rsidP="00AA7BB1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Conclusiones:</w:t>
            </w:r>
          </w:p>
          <w:p w:rsidR="00D572EF" w:rsidRDefault="00D572EF" w:rsidP="00AA7BB1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656D8A" w:rsidRDefault="00B77EDA" w:rsidP="00AA7BB1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656D8A">
              <w:rPr>
                <w:rFonts w:ascii="Arial" w:hAnsi="Arial" w:cs="Arial"/>
              </w:rPr>
              <w:t xml:space="preserve">otar de progresividad, proporcionalidad y justicia tributaria </w:t>
            </w:r>
            <w:r w:rsidR="00D572EF">
              <w:rPr>
                <w:rFonts w:ascii="Arial" w:hAnsi="Arial" w:cs="Arial"/>
              </w:rPr>
              <w:t>a los derechos por la prestación de los servicios e</w:t>
            </w:r>
            <w:r w:rsidR="00D6121F">
              <w:rPr>
                <w:rFonts w:ascii="Arial" w:hAnsi="Arial" w:cs="Arial"/>
              </w:rPr>
              <w:t xml:space="preserve">n el municipio, </w:t>
            </w:r>
            <w:r w:rsidR="00656D8A">
              <w:rPr>
                <w:rFonts w:ascii="Arial" w:hAnsi="Arial" w:cs="Arial"/>
              </w:rPr>
              <w:t xml:space="preserve">además de mejorar la recaudación </w:t>
            </w:r>
            <w:r w:rsidR="00D572EF">
              <w:rPr>
                <w:rFonts w:ascii="Arial" w:hAnsi="Arial" w:cs="Arial"/>
              </w:rPr>
              <w:t>de estos derechos</w:t>
            </w:r>
            <w:r w:rsidR="00F950E6">
              <w:rPr>
                <w:rFonts w:ascii="Arial" w:hAnsi="Arial" w:cs="Arial"/>
              </w:rPr>
              <w:t>, distribuyendo de una mejor forma la captación entre los ámbitos de gobierno en concordancia a las cargas que implica la administración del tributo y que mayormente pesan en el ámbito municipal.</w:t>
            </w:r>
          </w:p>
          <w:p w:rsidR="009102BF" w:rsidRDefault="009102BF" w:rsidP="00AA7BB1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9102BF" w:rsidRDefault="009102BF" w:rsidP="00424EC9">
      <w:pPr>
        <w:spacing w:after="0" w:line="240" w:lineRule="auto"/>
        <w:rPr>
          <w:rFonts w:ascii="Arial" w:hAnsi="Arial" w:cs="Arial"/>
          <w:sz w:val="36"/>
          <w:szCs w:val="36"/>
        </w:rPr>
      </w:pPr>
    </w:p>
    <w:p w:rsidR="007F5AD1" w:rsidRDefault="007F5AD1" w:rsidP="00424EC9">
      <w:pPr>
        <w:spacing w:after="0" w:line="240" w:lineRule="auto"/>
        <w:ind w:firstLine="708"/>
        <w:rPr>
          <w:rFonts w:ascii="Arial" w:hAnsi="Arial" w:cs="Arial"/>
          <w:sz w:val="36"/>
          <w:szCs w:val="36"/>
        </w:rPr>
      </w:pPr>
    </w:p>
    <w:sectPr w:rsidR="007F5AD1" w:rsidSect="00091010">
      <w:headerReference w:type="default" r:id="rId8"/>
      <w:footerReference w:type="default" r:id="rId9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0B6" w:rsidRDefault="007770B6" w:rsidP="00826AB6">
      <w:pPr>
        <w:spacing w:after="0" w:line="240" w:lineRule="auto"/>
      </w:pPr>
      <w:r>
        <w:separator/>
      </w:r>
    </w:p>
  </w:endnote>
  <w:endnote w:type="continuationSeparator" w:id="0">
    <w:p w:rsidR="007770B6" w:rsidRDefault="007770B6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889" w:rsidRPr="006F64A9" w:rsidRDefault="00D6121F">
    <w:pPr>
      <w:pStyle w:val="Piedepgina"/>
      <w:jc w:val="right"/>
      <w:rPr>
        <w:i/>
        <w:color w:val="404040" w:themeColor="text1" w:themeTint="BF"/>
      </w:rPr>
    </w:pPr>
    <w:r>
      <w:rPr>
        <w:i/>
        <w:color w:val="404040" w:themeColor="text1" w:themeTint="BF"/>
      </w:rPr>
      <w:t xml:space="preserve">Dirección  tránsito, </w:t>
    </w:r>
    <w:r w:rsidR="006F64A9">
      <w:rPr>
        <w:i/>
        <w:color w:val="404040" w:themeColor="text1" w:themeTint="BF"/>
      </w:rPr>
      <w:t xml:space="preserve"> Movilidad y Transporte Municipal</w:t>
    </w:r>
  </w:p>
  <w:p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0B6" w:rsidRDefault="007770B6" w:rsidP="00826AB6">
      <w:pPr>
        <w:spacing w:after="0" w:line="240" w:lineRule="auto"/>
      </w:pPr>
      <w:r>
        <w:separator/>
      </w:r>
    </w:p>
  </w:footnote>
  <w:footnote w:type="continuationSeparator" w:id="0">
    <w:p w:rsidR="007770B6" w:rsidRDefault="007770B6" w:rsidP="00826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4A9" w:rsidRPr="006F64A9" w:rsidRDefault="006F64A9" w:rsidP="006F64A9">
    <w:pPr>
      <w:pStyle w:val="Encabezado"/>
      <w:jc w:val="right"/>
      <w:rPr>
        <w:color w:val="595959" w:themeColor="text1" w:themeTint="A6"/>
        <w:sz w:val="20"/>
      </w:rPr>
    </w:pPr>
    <w:r w:rsidRPr="006F64A9">
      <w:rPr>
        <w:b/>
        <w:color w:val="595959" w:themeColor="text1" w:themeTint="A6"/>
        <w:sz w:val="48"/>
      </w:rPr>
      <w:t xml:space="preserve">Servicio </w:t>
    </w:r>
    <w:r w:rsidR="00D6121F">
      <w:rPr>
        <w:b/>
        <w:color w:val="595959" w:themeColor="text1" w:themeTint="A6"/>
        <w:sz w:val="48"/>
      </w:rPr>
      <w:t>De Arrastre y</w:t>
    </w:r>
    <w:r w:rsidR="00DC635A">
      <w:rPr>
        <w:b/>
        <w:color w:val="595959" w:themeColor="text1" w:themeTint="A6"/>
        <w:sz w:val="48"/>
      </w:rPr>
      <w:t xml:space="preserve"> Pensión de Vehículos Infraccionados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57"/>
    <w:rsid w:val="00006712"/>
    <w:rsid w:val="00007643"/>
    <w:rsid w:val="0001785F"/>
    <w:rsid w:val="00046624"/>
    <w:rsid w:val="00067889"/>
    <w:rsid w:val="00081F05"/>
    <w:rsid w:val="00085038"/>
    <w:rsid w:val="00091010"/>
    <w:rsid w:val="00091C4E"/>
    <w:rsid w:val="000A084B"/>
    <w:rsid w:val="000A3FCE"/>
    <w:rsid w:val="000B727B"/>
    <w:rsid w:val="000E3B32"/>
    <w:rsid w:val="000E6F98"/>
    <w:rsid w:val="0011204A"/>
    <w:rsid w:val="00116544"/>
    <w:rsid w:val="00116764"/>
    <w:rsid w:val="001532D0"/>
    <w:rsid w:val="00173C8C"/>
    <w:rsid w:val="001941CC"/>
    <w:rsid w:val="001A0A77"/>
    <w:rsid w:val="001A1DDA"/>
    <w:rsid w:val="001A24A9"/>
    <w:rsid w:val="001C737B"/>
    <w:rsid w:val="001E0130"/>
    <w:rsid w:val="001E1117"/>
    <w:rsid w:val="001E6A73"/>
    <w:rsid w:val="00200981"/>
    <w:rsid w:val="00216808"/>
    <w:rsid w:val="00251E7E"/>
    <w:rsid w:val="002B2D7A"/>
    <w:rsid w:val="002B4B62"/>
    <w:rsid w:val="002D0A9A"/>
    <w:rsid w:val="002E41E1"/>
    <w:rsid w:val="003118BE"/>
    <w:rsid w:val="0033577E"/>
    <w:rsid w:val="00346990"/>
    <w:rsid w:val="003638E7"/>
    <w:rsid w:val="0037179E"/>
    <w:rsid w:val="00396DF8"/>
    <w:rsid w:val="003B60E4"/>
    <w:rsid w:val="003B636D"/>
    <w:rsid w:val="003E7C71"/>
    <w:rsid w:val="003F121A"/>
    <w:rsid w:val="003F273A"/>
    <w:rsid w:val="00402299"/>
    <w:rsid w:val="00411570"/>
    <w:rsid w:val="00416BAD"/>
    <w:rsid w:val="00423B5B"/>
    <w:rsid w:val="00424EC9"/>
    <w:rsid w:val="00424EFA"/>
    <w:rsid w:val="0043326E"/>
    <w:rsid w:val="00456736"/>
    <w:rsid w:val="004907B0"/>
    <w:rsid w:val="004927D5"/>
    <w:rsid w:val="00493ED0"/>
    <w:rsid w:val="00497B19"/>
    <w:rsid w:val="004B711E"/>
    <w:rsid w:val="004C2494"/>
    <w:rsid w:val="004C583F"/>
    <w:rsid w:val="004E4291"/>
    <w:rsid w:val="004F2D88"/>
    <w:rsid w:val="005026D6"/>
    <w:rsid w:val="00560B42"/>
    <w:rsid w:val="00561FE7"/>
    <w:rsid w:val="00563833"/>
    <w:rsid w:val="00564B3E"/>
    <w:rsid w:val="0056593E"/>
    <w:rsid w:val="005A0D87"/>
    <w:rsid w:val="005A288A"/>
    <w:rsid w:val="005A2A6E"/>
    <w:rsid w:val="005A439F"/>
    <w:rsid w:val="005B45CC"/>
    <w:rsid w:val="005B69F4"/>
    <w:rsid w:val="005C6579"/>
    <w:rsid w:val="005D06CA"/>
    <w:rsid w:val="005D0E5C"/>
    <w:rsid w:val="005E1FAC"/>
    <w:rsid w:val="005F5BCA"/>
    <w:rsid w:val="00606564"/>
    <w:rsid w:val="00606F44"/>
    <w:rsid w:val="00625C9D"/>
    <w:rsid w:val="00644501"/>
    <w:rsid w:val="00656D8A"/>
    <w:rsid w:val="00660C60"/>
    <w:rsid w:val="00667449"/>
    <w:rsid w:val="006A1695"/>
    <w:rsid w:val="006B552D"/>
    <w:rsid w:val="006F64A9"/>
    <w:rsid w:val="0070120F"/>
    <w:rsid w:val="007059F2"/>
    <w:rsid w:val="007259BD"/>
    <w:rsid w:val="00747492"/>
    <w:rsid w:val="00752AEB"/>
    <w:rsid w:val="00753C27"/>
    <w:rsid w:val="00755707"/>
    <w:rsid w:val="00761333"/>
    <w:rsid w:val="00764BBE"/>
    <w:rsid w:val="007770B6"/>
    <w:rsid w:val="00793203"/>
    <w:rsid w:val="007A591C"/>
    <w:rsid w:val="007B5242"/>
    <w:rsid w:val="007C157D"/>
    <w:rsid w:val="007C33D7"/>
    <w:rsid w:val="007C3603"/>
    <w:rsid w:val="007D0E96"/>
    <w:rsid w:val="007D70C5"/>
    <w:rsid w:val="007E654F"/>
    <w:rsid w:val="007F5AD1"/>
    <w:rsid w:val="008062B7"/>
    <w:rsid w:val="00826AB6"/>
    <w:rsid w:val="008729C4"/>
    <w:rsid w:val="00875410"/>
    <w:rsid w:val="00876399"/>
    <w:rsid w:val="008764A0"/>
    <w:rsid w:val="008825E5"/>
    <w:rsid w:val="008A304D"/>
    <w:rsid w:val="008A3DFC"/>
    <w:rsid w:val="008C5929"/>
    <w:rsid w:val="008F5D3C"/>
    <w:rsid w:val="00901BE9"/>
    <w:rsid w:val="00905288"/>
    <w:rsid w:val="009102BF"/>
    <w:rsid w:val="00917DD5"/>
    <w:rsid w:val="00926F6A"/>
    <w:rsid w:val="0094497C"/>
    <w:rsid w:val="00945BB6"/>
    <w:rsid w:val="00950268"/>
    <w:rsid w:val="009524E4"/>
    <w:rsid w:val="0095630F"/>
    <w:rsid w:val="00963CD6"/>
    <w:rsid w:val="009A2D8C"/>
    <w:rsid w:val="009B7937"/>
    <w:rsid w:val="009E0078"/>
    <w:rsid w:val="009E5039"/>
    <w:rsid w:val="009F127A"/>
    <w:rsid w:val="00A26D71"/>
    <w:rsid w:val="00A46674"/>
    <w:rsid w:val="00A47819"/>
    <w:rsid w:val="00A81978"/>
    <w:rsid w:val="00A85525"/>
    <w:rsid w:val="00A85EFE"/>
    <w:rsid w:val="00A90A74"/>
    <w:rsid w:val="00AA4176"/>
    <w:rsid w:val="00AA7BB1"/>
    <w:rsid w:val="00AB3A7E"/>
    <w:rsid w:val="00AB7FCA"/>
    <w:rsid w:val="00AC029A"/>
    <w:rsid w:val="00AD7C11"/>
    <w:rsid w:val="00AF7C22"/>
    <w:rsid w:val="00B07B15"/>
    <w:rsid w:val="00B52F1C"/>
    <w:rsid w:val="00B5525B"/>
    <w:rsid w:val="00B62E50"/>
    <w:rsid w:val="00B674E0"/>
    <w:rsid w:val="00B77EDA"/>
    <w:rsid w:val="00B85611"/>
    <w:rsid w:val="00B92645"/>
    <w:rsid w:val="00B941B4"/>
    <w:rsid w:val="00BA57ED"/>
    <w:rsid w:val="00BA79A5"/>
    <w:rsid w:val="00BB5357"/>
    <w:rsid w:val="00BC196A"/>
    <w:rsid w:val="00BD188E"/>
    <w:rsid w:val="00BE1952"/>
    <w:rsid w:val="00BE2F10"/>
    <w:rsid w:val="00BF1D8F"/>
    <w:rsid w:val="00BF461D"/>
    <w:rsid w:val="00C16194"/>
    <w:rsid w:val="00C31B79"/>
    <w:rsid w:val="00C63824"/>
    <w:rsid w:val="00C66FE2"/>
    <w:rsid w:val="00C830ED"/>
    <w:rsid w:val="00CB69B6"/>
    <w:rsid w:val="00CC63FC"/>
    <w:rsid w:val="00CE3F11"/>
    <w:rsid w:val="00CE7AEC"/>
    <w:rsid w:val="00CE7ED7"/>
    <w:rsid w:val="00D2319B"/>
    <w:rsid w:val="00D572EF"/>
    <w:rsid w:val="00D60795"/>
    <w:rsid w:val="00D6121F"/>
    <w:rsid w:val="00D64BCB"/>
    <w:rsid w:val="00D8178B"/>
    <w:rsid w:val="00DA0BD4"/>
    <w:rsid w:val="00DA5FAB"/>
    <w:rsid w:val="00DC635A"/>
    <w:rsid w:val="00DD5E24"/>
    <w:rsid w:val="00DE3011"/>
    <w:rsid w:val="00DE4A18"/>
    <w:rsid w:val="00E054F3"/>
    <w:rsid w:val="00E06368"/>
    <w:rsid w:val="00E3289D"/>
    <w:rsid w:val="00E449A4"/>
    <w:rsid w:val="00E52270"/>
    <w:rsid w:val="00E56533"/>
    <w:rsid w:val="00E949FE"/>
    <w:rsid w:val="00EA3A58"/>
    <w:rsid w:val="00EA3E6C"/>
    <w:rsid w:val="00EB0434"/>
    <w:rsid w:val="00EB7EC1"/>
    <w:rsid w:val="00ED28DF"/>
    <w:rsid w:val="00ED2FFA"/>
    <w:rsid w:val="00EF3768"/>
    <w:rsid w:val="00EF7496"/>
    <w:rsid w:val="00F202B1"/>
    <w:rsid w:val="00F261AA"/>
    <w:rsid w:val="00F3359F"/>
    <w:rsid w:val="00F64F4A"/>
    <w:rsid w:val="00F80451"/>
    <w:rsid w:val="00F91A40"/>
    <w:rsid w:val="00F950E6"/>
    <w:rsid w:val="00FB2CD2"/>
    <w:rsid w:val="00FC3493"/>
    <w:rsid w:val="00FC59B2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974188"/>
  <w15:docId w15:val="{03C54759-E635-4B33-B0BF-82D6AC607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25868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C072D-4E2C-497F-9F97-FDD5BCEDA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784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COORD_ ADMVA_DGTMT</cp:lastModifiedBy>
  <cp:revision>7</cp:revision>
  <cp:lastPrinted>2019-10-08T00:15:00Z</cp:lastPrinted>
  <dcterms:created xsi:type="dcterms:W3CDTF">2019-10-07T22:01:00Z</dcterms:created>
  <dcterms:modified xsi:type="dcterms:W3CDTF">2019-10-08T00:37:00Z</dcterms:modified>
</cp:coreProperties>
</file>