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3379"/>
        <w:gridCol w:w="893"/>
        <w:gridCol w:w="1113"/>
        <w:gridCol w:w="1355"/>
        <w:gridCol w:w="2314"/>
      </w:tblGrid>
      <w:tr w:rsidR="009102BF" w14:paraId="4754796F" w14:textId="77777777" w:rsidTr="00A128B9">
        <w:trPr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157787B9" w14:textId="77777777" w:rsidR="007721AB" w:rsidRDefault="007721AB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,</w:t>
            </w:r>
          </w:p>
          <w:p w14:paraId="259E79A2" w14:textId="77777777" w:rsidR="009102BF" w:rsidRDefault="009102BF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Exposición 1 de 1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BAD02E2" w14:textId="412A3D36" w:rsidR="009102BF" w:rsidRDefault="009102BF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Inic</w:t>
            </w:r>
            <w:r w:rsidR="0070120F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iativas para Ley de Ingreso 20</w:t>
            </w:r>
            <w:r w:rsidR="004B02BD">
              <w:rPr>
                <w:rFonts w:ascii="Arial" w:eastAsia="Times New Roman" w:hAnsi="Arial" w:cs="Arial"/>
                <w:color w:val="FFFFFF" w:themeColor="background1"/>
                <w:lang w:eastAsia="es-MX"/>
              </w:rPr>
              <w:t>20</w:t>
            </w:r>
          </w:p>
        </w:tc>
      </w:tr>
      <w:tr w:rsidR="009102BF" w14:paraId="7A914D29" w14:textId="77777777" w:rsidTr="009102BF">
        <w:trPr>
          <w:tblHeader/>
        </w:trPr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6F4B" w14:textId="77777777" w:rsidR="009102BF" w:rsidRDefault="009102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  <w:t>Formato para exposición motivos</w:t>
            </w:r>
          </w:p>
        </w:tc>
      </w:tr>
      <w:tr w:rsidR="00A128B9" w14:paraId="5A5C88C6" w14:textId="77777777" w:rsidTr="00A128B9">
        <w:trPr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334A1196" w14:textId="77777777" w:rsidR="009102BF" w:rsidRDefault="009102B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916C5A" w14:textId="77777777" w:rsidR="009102BF" w:rsidRDefault="009102B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Poner los datos de ubicación en relación a la iniciativa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4F68FC3" w14:textId="77777777" w:rsidR="009102BF" w:rsidRDefault="009102B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Artículo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1F6083B" w14:textId="77777777" w:rsidR="009102BF" w:rsidRDefault="006B4D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6A6717D" w14:textId="77777777" w:rsidR="009102BF" w:rsidRDefault="009102B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Concepto de cobro</w:t>
            </w:r>
          </w:p>
        </w:tc>
      </w:tr>
      <w:tr w:rsidR="00A128B9" w14:paraId="1663ABFC" w14:textId="77777777" w:rsidTr="00A128B9">
        <w:trPr>
          <w:trHeight w:val="420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EEE5" w14:textId="77777777" w:rsidR="009102BF" w:rsidRDefault="009102B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Guanajuato, Guanajuato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8E4D" w14:textId="77777777" w:rsidR="009102BF" w:rsidRDefault="009102B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23E1E9" w14:textId="77777777" w:rsidR="009102BF" w:rsidRDefault="009102B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Fracción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7B7D" w14:textId="77777777" w:rsidR="009102BF" w:rsidRDefault="00654F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  <w:t>I,II,III,IV,V,VI,VII Y VIII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4E10" w14:textId="77777777" w:rsidR="009102BF" w:rsidRDefault="00C0011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2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</w:t>
            </w:r>
            <w:r w:rsidR="006230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Pr="007C72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r w:rsidR="006230AA" w:rsidRPr="007C72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interno</w:t>
            </w:r>
          </w:p>
        </w:tc>
      </w:tr>
      <w:tr w:rsidR="00A128B9" w14:paraId="2775467E" w14:textId="77777777" w:rsidTr="00A128B9">
        <w:trPr>
          <w:trHeight w:val="240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92E1" w14:textId="77777777" w:rsidR="009102BF" w:rsidRDefault="009102BF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7B49" w14:textId="77777777" w:rsidR="009102BF" w:rsidRDefault="009102B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CA662E" w14:textId="77777777" w:rsidR="009102BF" w:rsidRDefault="009102B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Inciso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B133" w14:textId="77777777" w:rsidR="009102BF" w:rsidRDefault="00654F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  <w:t>a,</w:t>
            </w:r>
            <w:r w:rsidR="007C724F"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  <w:t xml:space="preserve">b y </w:t>
            </w:r>
            <w:r w:rsidR="007C724F"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  <w:t>c de</w:t>
            </w:r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s-MX"/>
              </w:rPr>
              <w:t xml:space="preserve"> la fracción VII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DE1A" w14:textId="77777777" w:rsidR="009102BF" w:rsidRDefault="009102B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02BF" w14:paraId="69473311" w14:textId="77777777" w:rsidTr="00A128B9">
        <w:trPr>
          <w:trHeight w:val="20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858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Situación actual del hecho generador:</w:t>
            </w:r>
          </w:p>
          <w:p w14:paraId="7032F720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  <w:p w14:paraId="6E3F7AB0" w14:textId="77777777" w:rsidR="009102BF" w:rsidRDefault="009102BF">
            <w:pPr>
              <w:pStyle w:val="Prrafodelista"/>
              <w:spacing w:line="240" w:lineRule="auto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*</w:t>
            </w:r>
            <w:r>
              <w:rPr>
                <w:rFonts w:ascii="Arial" w:hAnsi="Arial" w:cs="Arial"/>
              </w:rPr>
              <w:t>Es la circunstancia o condición que da nacimiento a la obligación tributaria.</w:t>
            </w:r>
          </w:p>
          <w:p w14:paraId="145299B7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  <w:p w14:paraId="3FDFCAFC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6A8" w14:textId="77777777" w:rsidR="009102BF" w:rsidRPr="008823A3" w:rsidRDefault="008F5D3C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Derivado del </w:t>
            </w:r>
            <w:r w:rsidR="00C31B79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Artículo</w:t>
            </w:r>
            <w:r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 de la Ley de Hacienda para los municipios del Estado de Guanajuato. Fracción I inciso A) Son contribuciones: los Impuestos, derechos y contribuciones especiales.</w:t>
            </w:r>
          </w:p>
          <w:p w14:paraId="15BB1E18" w14:textId="77777777" w:rsidR="00654FF5" w:rsidRPr="008823A3" w:rsidRDefault="00654FF5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67E4800" w14:textId="6FBCAF2A" w:rsidR="009F158F" w:rsidRPr="008823A3" w:rsidRDefault="00C31B79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 </w:t>
            </w:r>
            <w:r w:rsidR="009F158F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que,</w:t>
            </w:r>
            <w:r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la Ley de Ingresos para el Municipio de Guanajuato, Guanajuato, para el ejercicio fiscal del año 20</w:t>
            </w:r>
            <w:r w:rsidR="004B02BD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se indica en</w:t>
            </w:r>
            <w:r w:rsidR="009F158F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  <w:p w14:paraId="759CF433" w14:textId="77777777" w:rsidR="009F158F" w:rsidRPr="008823A3" w:rsidRDefault="009F158F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Artículo 23. </w:t>
            </w:r>
            <w:r w:rsidR="005F097A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Uno de los derechos por la prestación de los servicios de Protección Civil se causará</w:t>
            </w:r>
            <w:r w:rsidR="008B4DB4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liquidarán </w:t>
            </w:r>
            <w:r w:rsidR="005F097A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se expone a continuación:</w:t>
            </w:r>
          </w:p>
          <w:p w14:paraId="21513E51" w14:textId="77777777" w:rsidR="00654FF5" w:rsidRPr="008823A3" w:rsidRDefault="00654FF5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4D07195" w14:textId="77777777" w:rsidR="008B4DB4" w:rsidRPr="008823A3" w:rsidRDefault="008B4DB4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Tarifa</w:t>
            </w:r>
          </w:p>
          <w:p w14:paraId="0BA237E6" w14:textId="39CFB35B" w:rsidR="009102BF" w:rsidRPr="007C724F" w:rsidRDefault="001229B5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VII. Programa interno $</w:t>
            </w:r>
            <w:r w:rsidR="004B02BD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759.10</w:t>
            </w:r>
          </w:p>
        </w:tc>
      </w:tr>
      <w:tr w:rsidR="009102BF" w14:paraId="70BDBD1C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C13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A22" w14:textId="77777777" w:rsidR="009102BF" w:rsidRDefault="009102B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02BF" w14:paraId="195FF990" w14:textId="77777777" w:rsidTr="009102BF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D54F" w14:textId="77777777" w:rsidR="009102BF" w:rsidRDefault="009102B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Nuevo incremento sobre la contribución:</w:t>
            </w:r>
          </w:p>
        </w:tc>
      </w:tr>
      <w:tr w:rsidR="009102BF" w14:paraId="1F88573B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631" w14:textId="77777777" w:rsidR="009102BF" w:rsidRDefault="009102B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Tasa o tarifa actual:</w:t>
            </w:r>
          </w:p>
          <w:p w14:paraId="1F26D737" w14:textId="77777777" w:rsidR="009102BF" w:rsidRDefault="009102B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Las contenidas en la Ley vigente</w:t>
            </w:r>
          </w:p>
          <w:p w14:paraId="301B2269" w14:textId="77777777" w:rsidR="009102BF" w:rsidRDefault="009102B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C03F049" w14:textId="77777777" w:rsidR="008B4DB4" w:rsidRDefault="00C31B79" w:rsidP="008B4DB4">
            <w:pPr>
              <w:tabs>
                <w:tab w:val="left" w:pos="1578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Artículo </w:t>
            </w:r>
            <w:r w:rsidR="00C30B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23.</w:t>
            </w:r>
            <w:r w:rsidR="008B4D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8B4DB4" w:rsidRPr="009F15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derechos por la prestación de los servicios de protección civil</w:t>
            </w:r>
            <w:r w:rsidR="008B4DB4" w:rsidRPr="008B4D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se causarán y liquidarán conforme a </w:t>
            </w:r>
            <w:r w:rsidR="005F09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siguientes conceptos:</w:t>
            </w:r>
          </w:p>
          <w:p w14:paraId="5E25E7B3" w14:textId="77777777" w:rsidR="008B4DB4" w:rsidRDefault="008B4DB4" w:rsidP="008B4DB4">
            <w:pPr>
              <w:tabs>
                <w:tab w:val="left" w:pos="1578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Tarifa</w:t>
            </w:r>
          </w:p>
          <w:p w14:paraId="6F36AD4B" w14:textId="7C01D17E" w:rsidR="009102BF" w:rsidRDefault="00C00115" w:rsidP="00515B9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C72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</w:t>
            </w:r>
            <w:r w:rsidR="006230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Pr="007C72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r w:rsidR="006230AA" w:rsidRPr="007C72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interno </w:t>
            </w:r>
            <w:r w:rsidR="00A107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4B02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759.10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0C56" w14:textId="77777777" w:rsidR="009102BF" w:rsidRDefault="009102B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Tasa o tarifa propuesta: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3"/>
              <w:gridCol w:w="146"/>
            </w:tblGrid>
            <w:tr w:rsidR="009102BF" w14:paraId="3313C8F9" w14:textId="77777777" w:rsidTr="003F68C8">
              <w:trPr>
                <w:trHeight w:val="300"/>
              </w:trPr>
              <w:tc>
                <w:tcPr>
                  <w:tcW w:w="0" w:type="auto"/>
                  <w:vAlign w:val="bottom"/>
                  <w:hideMark/>
                </w:tcPr>
                <w:p w14:paraId="4D1CFCE8" w14:textId="77777777" w:rsidR="009102BF" w:rsidRPr="008823A3" w:rsidRDefault="00C31B79" w:rsidP="008823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Se p</w:t>
                  </w:r>
                  <w:r w:rsidR="00050019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lantea</w:t>
                  </w: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una tabla </w:t>
                  </w:r>
                  <w:r w:rsidR="000742BB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de porcentajes, </w:t>
                  </w:r>
                  <w:r w:rsidR="00050019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para el aumento de tarifas</w:t>
                  </w:r>
                  <w:r w:rsidR="00D42FDE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de acuerdo</w:t>
                  </w:r>
                  <w:r w:rsidR="005A6F17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al tipo</w:t>
                  </w:r>
                  <w:r w:rsidR="009A6A68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y número</w:t>
                  </w:r>
                  <w:r w:rsidR="005A6F17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  <w:r w:rsidR="002C09FF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de </w:t>
                  </w:r>
                  <w:r w:rsidR="00962FC4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tr</w:t>
                  </w:r>
                  <w:r w:rsidR="002C09FF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á</w:t>
                  </w:r>
                  <w:r w:rsidR="00962FC4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mite</w:t>
                  </w:r>
                  <w:r w:rsidR="009A6A68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s </w:t>
                  </w:r>
                  <w:r w:rsidR="00654FF5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y/o </w:t>
                  </w:r>
                  <w:r w:rsidR="002C09FF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permiso</w:t>
                  </w:r>
                  <w:r w:rsidR="00962FC4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que </w:t>
                  </w:r>
                  <w:r w:rsidR="002C09FF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se </w:t>
                  </w:r>
                  <w:r w:rsidR="00962FC4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requiere</w:t>
                  </w:r>
                  <w:r w:rsidR="002C09FF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en materia de Protección Civil, referente</w:t>
                  </w:r>
                  <w:r w:rsidR="002648F9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a medidas básicas de seguridad y prevención de riesgos.</w:t>
                  </w:r>
                </w:p>
                <w:p w14:paraId="6C1F3CED" w14:textId="77777777" w:rsidR="00E95AA1" w:rsidRPr="008823A3" w:rsidRDefault="00E95AA1" w:rsidP="008823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14:paraId="0571387A" w14:textId="421AAFBB" w:rsidR="00B07B15" w:rsidRPr="008823A3" w:rsidRDefault="00644501" w:rsidP="008823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Por lo que se</w:t>
                  </w:r>
                  <w:r w:rsidR="00A97D8A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sugiere</w:t>
                  </w:r>
                  <w:r w:rsidR="00B07B15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una tabla </w:t>
                  </w:r>
                  <w:r w:rsidR="009A6A68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porcentual de rangos de tasas que van desde 4% tasa de inflación, hasta llegar a una de</w:t>
                  </w:r>
                  <w:r w:rsidR="00D85581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 30</w:t>
                  </w:r>
                  <w:r w:rsidR="009A6A68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%; considerando los factores tiempo hombre, salario hombre, costo combustible necesario por horas efectivas de trabajo, costo de mantenimiento de unidades vehiculares por horas efectivas de trabajo, los cuales </w:t>
                  </w:r>
                  <w:r w:rsidR="001E68D5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intervienen</w:t>
                  </w:r>
                  <w:r w:rsidR="009A6A68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directamente</w:t>
                  </w:r>
                  <w:r w:rsidR="001E68D5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para la realización de cada trámite</w:t>
                  </w:r>
                  <w:r w:rsidR="005F097A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: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14:paraId="639054D8" w14:textId="77777777" w:rsidR="009102BF" w:rsidRDefault="00910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es-MX"/>
                    </w:rPr>
                  </w:pPr>
                </w:p>
              </w:tc>
            </w:tr>
            <w:tr w:rsidR="009102BF" w14:paraId="48DBFF86" w14:textId="77777777" w:rsidTr="003F68C8">
              <w:trPr>
                <w:trHeight w:val="100"/>
              </w:trPr>
              <w:tc>
                <w:tcPr>
                  <w:tcW w:w="0" w:type="auto"/>
                  <w:vAlign w:val="bottom"/>
                </w:tcPr>
                <w:p w14:paraId="1911BE85" w14:textId="77777777" w:rsidR="009102BF" w:rsidRPr="008823A3" w:rsidRDefault="009102BF" w:rsidP="008823A3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14:paraId="58C6A16C" w14:textId="77777777" w:rsidR="00515B93" w:rsidRPr="008823A3" w:rsidRDefault="006230AA" w:rsidP="008823A3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8823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7</w:t>
                  </w:r>
                  <w:r w:rsidR="00C00115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. </w:t>
                  </w:r>
                  <w:r w:rsidR="00A10784" w:rsidRPr="008823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Programa interno</w:t>
                  </w:r>
                </w:p>
                <w:p w14:paraId="572B9369" w14:textId="77777777" w:rsidR="00A10784" w:rsidRPr="008823A3" w:rsidRDefault="00A10784" w:rsidP="008823A3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8823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Fundamento Legal:</w:t>
                  </w:r>
                </w:p>
                <w:p w14:paraId="3DC3018E" w14:textId="3C8B217E" w:rsidR="00A10784" w:rsidRPr="008823A3" w:rsidRDefault="00A10784" w:rsidP="008823A3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Reglamento de Protección Civil del Municipio de Guanajuato y Ley de Ingresos para el Municipio de Guanajuato Artículo 23, Fracción VII, incisos b y</w:t>
                  </w:r>
                  <w:r w:rsidRPr="008823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 c.</w:t>
                  </w:r>
                </w:p>
                <w:p w14:paraId="7D1F7954" w14:textId="4090A236" w:rsidR="00A10784" w:rsidRPr="008823A3" w:rsidRDefault="00A10784" w:rsidP="008823A3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Revisión de programas de seguridad en materia de protección civil a organizaciones gubernamentales y privadas</w:t>
                  </w:r>
                  <w:r w:rsidR="004B02BD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,</w:t>
                  </w: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como prevención, para extender constancia de factibilidad</w:t>
                  </w:r>
                  <w:r w:rsidR="004B02BD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de operación</w:t>
                  </w: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, incrementando su tarifa de cobro en un </w:t>
                  </w:r>
                  <w:r w:rsidR="004B02BD"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30</w:t>
                  </w:r>
                  <w:r w:rsidRPr="008823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%</w:t>
                  </w: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más de su tarifa actual.</w:t>
                  </w:r>
                </w:p>
                <w:p w14:paraId="3B7E7610" w14:textId="77777777" w:rsidR="00A10784" w:rsidRPr="008823A3" w:rsidRDefault="00A10784" w:rsidP="008823A3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14:paraId="7D84290A" w14:textId="3C744ABA" w:rsidR="00200263" w:rsidRPr="008823A3" w:rsidRDefault="00200263" w:rsidP="008823A3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Se anex</w:t>
                  </w:r>
                  <w:r w:rsid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</w:t>
                  </w:r>
                  <w:r w:rsidRPr="008823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tabla: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14:paraId="52274DAE" w14:textId="77777777" w:rsidR="009102BF" w:rsidRDefault="009102B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es-MX"/>
                    </w:rPr>
                  </w:pPr>
                </w:p>
              </w:tc>
            </w:tr>
            <w:tr w:rsidR="009102BF" w14:paraId="284466CC" w14:textId="77777777" w:rsidTr="003F68C8">
              <w:trPr>
                <w:trHeight w:val="300"/>
              </w:trPr>
              <w:tc>
                <w:tcPr>
                  <w:tcW w:w="0" w:type="auto"/>
                  <w:vAlign w:val="bottom"/>
                </w:tcPr>
                <w:p w14:paraId="3AE6A66D" w14:textId="77777777" w:rsidR="0065023F" w:rsidRPr="007C724F" w:rsidRDefault="0065023F" w:rsidP="004D2AAA">
                  <w:pPr>
                    <w:tabs>
                      <w:tab w:val="left" w:pos="1578"/>
                    </w:tabs>
                    <w:spacing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14:paraId="3D8B68E8" w14:textId="77777777" w:rsidR="009102BF" w:rsidRDefault="009102B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es-MX"/>
                    </w:rPr>
                  </w:pPr>
                </w:p>
              </w:tc>
            </w:tr>
          </w:tbl>
          <w:p w14:paraId="632863C5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102BF" w14:paraId="028AA3FF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408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Indicar si es:</w:t>
            </w:r>
          </w:p>
          <w:p w14:paraId="7C49B953" w14:textId="77777777" w:rsidR="009102BF" w:rsidRDefault="009102B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DDD" w14:textId="77777777" w:rsidR="009102BF" w:rsidRPr="00007643" w:rsidRDefault="009102B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Impuesto:</w:t>
            </w:r>
            <w:r w:rsidR="00007643">
              <w:rPr>
                <w:rFonts w:ascii="Arial" w:hAnsi="Arial" w:cs="Arial"/>
              </w:rPr>
              <w:t xml:space="preserve">   </w:t>
            </w:r>
          </w:p>
          <w:p w14:paraId="434FF2BD" w14:textId="77777777" w:rsidR="00007643" w:rsidRPr="006A20B5" w:rsidRDefault="009102B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Derecho: </w:t>
            </w:r>
            <w:r w:rsidR="006A20B5">
              <w:rPr>
                <w:rFonts w:ascii="Arial" w:hAnsi="Arial" w:cs="Arial"/>
                <w:b/>
                <w:bCs/>
              </w:rPr>
              <w:t>X</w:t>
            </w:r>
          </w:p>
          <w:p w14:paraId="6D201320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Otra:</w:t>
            </w:r>
          </w:p>
        </w:tc>
      </w:tr>
      <w:tr w:rsidR="009102BF" w14:paraId="007A72DA" w14:textId="77777777" w:rsidTr="009102BF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1A5F" w14:textId="77777777" w:rsidR="009102BF" w:rsidRDefault="009102B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Nueva contribución propuesta:</w:t>
            </w:r>
          </w:p>
        </w:tc>
      </w:tr>
      <w:tr w:rsidR="009102BF" w14:paraId="2AE8D86A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27C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si es:</w:t>
            </w:r>
          </w:p>
          <w:p w14:paraId="0C5BCF38" w14:textId="77777777" w:rsidR="009102BF" w:rsidRDefault="009102B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336" w14:textId="77777777" w:rsidR="009102BF" w:rsidRPr="00007643" w:rsidRDefault="009102B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Impuesto:</w:t>
            </w:r>
            <w:r w:rsidR="00007643">
              <w:rPr>
                <w:rFonts w:ascii="Arial" w:hAnsi="Arial" w:cs="Arial"/>
              </w:rPr>
              <w:t xml:space="preserve">      </w:t>
            </w:r>
          </w:p>
          <w:p w14:paraId="016A1D7B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Derecho:</w:t>
            </w:r>
            <w:r w:rsidR="002A285B">
              <w:rPr>
                <w:rFonts w:ascii="Arial" w:hAnsi="Arial" w:cs="Arial"/>
              </w:rPr>
              <w:t xml:space="preserve"> </w:t>
            </w:r>
            <w:r w:rsidR="002A285B" w:rsidRPr="002A285B"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14:paraId="5EF9A982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Otra:</w:t>
            </w:r>
          </w:p>
        </w:tc>
      </w:tr>
      <w:tr w:rsidR="009102BF" w14:paraId="45E95153" w14:textId="77777777" w:rsidTr="009102BF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6EF" w14:textId="77777777" w:rsidR="009102BF" w:rsidRDefault="009102B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6B98326" w14:textId="77777777" w:rsidR="009102BF" w:rsidRDefault="009102B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Apartado para contribuciones actuales y nuevas:</w:t>
            </w:r>
          </w:p>
        </w:tc>
      </w:tr>
      <w:tr w:rsidR="009102BF" w14:paraId="040ED2EE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B532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Sujeto: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30D" w14:textId="77777777" w:rsidR="009102BF" w:rsidRPr="008823A3" w:rsidRDefault="00B9447F" w:rsidP="00882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sz w:val="20"/>
                <w:szCs w:val="20"/>
              </w:rPr>
              <w:t xml:space="preserve">Todo particular, </w:t>
            </w:r>
            <w:r w:rsidR="005F2A04" w:rsidRPr="008823A3">
              <w:rPr>
                <w:rFonts w:ascii="Arial" w:hAnsi="Arial" w:cs="Arial"/>
                <w:sz w:val="20"/>
                <w:szCs w:val="20"/>
              </w:rPr>
              <w:t>dependencias públicas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 y del sector privado</w:t>
            </w:r>
            <w:r w:rsidR="00007643" w:rsidRPr="008823A3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5F2A04" w:rsidRPr="008823A3">
              <w:rPr>
                <w:rFonts w:ascii="Arial" w:hAnsi="Arial" w:cs="Arial"/>
                <w:sz w:val="20"/>
                <w:szCs w:val="20"/>
              </w:rPr>
              <w:t xml:space="preserve">soliciten </w:t>
            </w:r>
            <w:r w:rsidR="00A128B9" w:rsidRPr="008823A3">
              <w:rPr>
                <w:rFonts w:ascii="Arial" w:hAnsi="Arial" w:cs="Arial"/>
                <w:sz w:val="20"/>
                <w:szCs w:val="20"/>
              </w:rPr>
              <w:t>algún trámite y/o</w:t>
            </w:r>
            <w:r w:rsidR="002648F9" w:rsidRPr="008823A3">
              <w:rPr>
                <w:rFonts w:ascii="Arial" w:hAnsi="Arial" w:cs="Arial"/>
                <w:sz w:val="20"/>
                <w:szCs w:val="20"/>
              </w:rPr>
              <w:t xml:space="preserve"> permiso </w:t>
            </w:r>
            <w:r w:rsidR="007C724F" w:rsidRPr="008823A3">
              <w:rPr>
                <w:rFonts w:ascii="Arial" w:hAnsi="Arial" w:cs="Arial"/>
                <w:sz w:val="20"/>
                <w:szCs w:val="20"/>
              </w:rPr>
              <w:t>en medidas</w:t>
            </w:r>
            <w:r w:rsidR="00DF6F77" w:rsidRPr="008823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8347E" w:rsidRPr="008823A3">
              <w:rPr>
                <w:rFonts w:ascii="Arial" w:hAnsi="Arial" w:cs="Arial"/>
                <w:sz w:val="20"/>
                <w:szCs w:val="20"/>
              </w:rPr>
              <w:t>seguridad</w:t>
            </w:r>
            <w:r w:rsidR="002648F9" w:rsidRPr="008823A3">
              <w:rPr>
                <w:rFonts w:ascii="Arial" w:hAnsi="Arial" w:cs="Arial"/>
                <w:sz w:val="20"/>
                <w:szCs w:val="20"/>
              </w:rPr>
              <w:t xml:space="preserve"> y prevención de riesgos en materia</w:t>
            </w:r>
            <w:r w:rsidR="00B8347E" w:rsidRPr="008823A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F6F77" w:rsidRPr="008823A3">
              <w:rPr>
                <w:rFonts w:ascii="Arial" w:hAnsi="Arial" w:cs="Arial"/>
                <w:sz w:val="20"/>
                <w:szCs w:val="20"/>
              </w:rPr>
              <w:t xml:space="preserve"> Protección Civil.</w:t>
            </w:r>
          </w:p>
        </w:tc>
      </w:tr>
      <w:tr w:rsidR="009102BF" w14:paraId="448D52AC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B9B2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Objeto: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B535" w14:textId="1B259142" w:rsidR="00661D81" w:rsidRPr="008823A3" w:rsidRDefault="00564B3E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sz w:val="20"/>
                <w:szCs w:val="20"/>
              </w:rPr>
              <w:t>C</w:t>
            </w:r>
            <w:r w:rsidR="005F2A04" w:rsidRPr="008823A3">
              <w:rPr>
                <w:rFonts w:ascii="Arial" w:hAnsi="Arial" w:cs="Arial"/>
                <w:sz w:val="20"/>
                <w:szCs w:val="20"/>
              </w:rPr>
              <w:t>on fundamento en la</w:t>
            </w:r>
            <w:r w:rsidR="00526B18" w:rsidRPr="008823A3">
              <w:rPr>
                <w:rFonts w:ascii="Arial" w:hAnsi="Arial" w:cs="Arial"/>
                <w:sz w:val="20"/>
                <w:szCs w:val="20"/>
              </w:rPr>
              <w:t xml:space="preserve"> Ley Federal de Derechos Artículo 1,</w:t>
            </w:r>
            <w:r w:rsidR="005F2A04" w:rsidRPr="008823A3">
              <w:rPr>
                <w:rFonts w:ascii="Arial" w:hAnsi="Arial" w:cs="Arial"/>
                <w:sz w:val="20"/>
                <w:szCs w:val="20"/>
              </w:rPr>
              <w:t xml:space="preserve"> Ley General de Protección Civil Capitulo II </w:t>
            </w:r>
            <w:r w:rsidR="00FA0250" w:rsidRPr="008823A3">
              <w:rPr>
                <w:rFonts w:ascii="Arial" w:hAnsi="Arial" w:cs="Arial"/>
                <w:sz w:val="20"/>
                <w:szCs w:val="20"/>
              </w:rPr>
              <w:t>A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 xml:space="preserve">rtículo 11, del Reglamento de la Ley de Protección Civil para el Estado de Guanajuato Capitulo Sexto de las Unidades Internas de Protección Civil Artículo 50 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>Fracción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 xml:space="preserve"> I Inciso a,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b,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c,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d,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e,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f,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g,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h,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i,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j,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k,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l,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m,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n,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o,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p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,q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,r,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s,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t,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u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>,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>Fracción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 xml:space="preserve"> II,II,IV,V,VI,VII,VII 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Artículo 51 Fracción I,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II,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III,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IV,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V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>Artículo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 xml:space="preserve"> 52 Fracción I,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II,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>III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>, IV, Articulo 53, 54, 55, 56, 57, 58 Fracción I, II, III, IV,</w:t>
            </w:r>
            <w:r w:rsidR="00C44E53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510" w:rsidRPr="008823A3">
              <w:rPr>
                <w:rFonts w:ascii="Arial" w:hAnsi="Arial" w:cs="Arial"/>
                <w:sz w:val="20"/>
                <w:szCs w:val="20"/>
              </w:rPr>
              <w:t xml:space="preserve">V, VI, VII, VIII.  Capítulo Séptimo de los Programas Especiales, Articulo 60, 61 </w:t>
            </w:r>
            <w:r w:rsidR="008C3396" w:rsidRPr="008823A3">
              <w:rPr>
                <w:rFonts w:ascii="Arial" w:hAnsi="Arial" w:cs="Arial"/>
                <w:sz w:val="20"/>
                <w:szCs w:val="20"/>
              </w:rPr>
              <w:t>Fracción I, II, II, III, IV, V VI, VII, VIII, IX, X, XI, Artículo 62 Fracción I, II, Inciso a, b, c, Fracción III Inciso a, b, c, d, e, Artículo 63 Fracción I, II, III, IV Inciso a, b, c Inciso V,</w:t>
            </w:r>
            <w:r w:rsidR="000742BB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396" w:rsidRPr="008823A3">
              <w:rPr>
                <w:rFonts w:ascii="Arial" w:hAnsi="Arial" w:cs="Arial"/>
                <w:sz w:val="20"/>
                <w:szCs w:val="20"/>
              </w:rPr>
              <w:t>VI, Artículo 64, 65</w:t>
            </w:r>
            <w:r w:rsidR="00BF1089" w:rsidRPr="008823A3">
              <w:rPr>
                <w:rFonts w:ascii="Arial" w:hAnsi="Arial" w:cs="Arial"/>
                <w:sz w:val="20"/>
                <w:szCs w:val="20"/>
              </w:rPr>
              <w:t xml:space="preserve">, Capítulo Octavo de las Brigadas Comunales y/o Vecinales Artículo 66,67,68. 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089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de Ingresos para el Municipio de Guanajuato, Guanajuato, para el ejercicio fiscal del año 20</w:t>
            </w:r>
            <w:r w:rsidR="004B02BD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BF1089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Artículo 23 Fracción I,II, III, IV V, VI</w:t>
            </w:r>
            <w:r w:rsidR="00661D81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VII</w:t>
            </w:r>
            <w:r w:rsidR="00BF1089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Inciso</w:t>
            </w:r>
            <w:r w:rsidR="005C6A30" w:rsidRPr="008823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a, b, c y Fracción VIII y Ley de Hacienda para los Municipios del Estado de Guanajuato Articulo 225. </w:t>
            </w:r>
            <w:r w:rsidR="00560B42" w:rsidRPr="008823A3">
              <w:rPr>
                <w:rFonts w:ascii="Arial" w:hAnsi="Arial" w:cs="Arial"/>
                <w:sz w:val="20"/>
                <w:szCs w:val="20"/>
              </w:rPr>
              <w:t>Exponiendo los siguientes fundamentos:</w:t>
            </w:r>
            <w:r w:rsidR="00661D81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C2A065" w14:textId="175BEC76" w:rsidR="00661D81" w:rsidRPr="008823A3" w:rsidRDefault="00661D81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</w:pPr>
            <w:r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Los diversos trámites y permisos emitidos por la Dirección Municipal de Protección Civil</w:t>
            </w:r>
            <w:r w:rsidR="00DD0DCF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a particulares, instituciones públicas</w:t>
            </w:r>
            <w:r w:rsidR="002E4AA6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, así</w:t>
            </w:r>
            <w:r w:rsidR="00DD0DCF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como privadas</w:t>
            </w:r>
            <w:r w:rsidR="002E4AA6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;</w:t>
            </w:r>
            <w:r w:rsidR="009972AE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en su </w:t>
            </w:r>
            <w:r w:rsidR="002E4AA6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naturaleza y por</w:t>
            </w:r>
            <w:r w:rsidR="009972AE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su grado de responsabilidad e importancia</w:t>
            </w:r>
            <w:r w:rsidR="002E4AA6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</w:t>
            </w:r>
            <w:r w:rsidR="009972AE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al realizar diversas revisiones </w:t>
            </w:r>
            <w:r w:rsidR="00DD0DCF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minuciosas</w:t>
            </w:r>
            <w:r w:rsidR="009972AE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de manera </w:t>
            </w:r>
            <w:r w:rsidR="00DD0DCF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profesional, con personal calificado, bajo  la normatividad ya mencionada en</w:t>
            </w:r>
            <w:r w:rsidR="009972AE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materia de </w:t>
            </w:r>
            <w:r w:rsidR="009972AE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lastRenderedPageBreak/>
              <w:t>segur</w:t>
            </w:r>
            <w:r w:rsidR="00DD0DCF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idad y prevención de riesgos, con la finalidad de prevenir,  disminuir y erradicar </w:t>
            </w:r>
            <w:r w:rsidR="002E4AA6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posibl</w:t>
            </w:r>
            <w:r w:rsidR="00FA0250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es riesgos que</w:t>
            </w:r>
            <w:r w:rsidR="003F68C8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puedan</w:t>
            </w:r>
            <w:r w:rsidR="00FA0250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garanti</w:t>
            </w:r>
            <w:r w:rsidR="003F68C8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zar</w:t>
            </w:r>
            <w:r w:rsidR="002E4AA6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la seguridad y bienestar de la población</w:t>
            </w:r>
            <w:r w:rsidR="003F68C8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,</w:t>
            </w:r>
            <w:r w:rsidR="002E4AA6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y así evitar que se vean afectadas en su integridad física y material; todo ello enfocado a una adecuada</w:t>
            </w:r>
            <w:r w:rsidR="000742BB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y oportuna asesoría integral por parte de la Dirección de Protección Civil.</w:t>
            </w:r>
            <w:r w:rsidR="009972AE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90437E" w14:textId="77777777" w:rsidR="000742BB" w:rsidRPr="008823A3" w:rsidRDefault="000742BB" w:rsidP="008823A3">
            <w:pPr>
              <w:tabs>
                <w:tab w:val="left" w:pos="1578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El cobro </w:t>
            </w:r>
            <w:r w:rsidR="007B2304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de est</w:t>
            </w:r>
            <w:r w:rsidR="00426E3D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e</w:t>
            </w:r>
            <w:r w:rsidR="007B2304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derecho representa una fuente importante en la </w:t>
            </w:r>
            <w:r w:rsidR="005C6A30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recaudación de</w:t>
            </w:r>
            <w:r w:rsidR="007B2304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ingresos para el Municipio</w:t>
            </w:r>
            <w:r w:rsidR="00426E3D" w:rsidRPr="008823A3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  <w:p w14:paraId="017A1BE8" w14:textId="77777777" w:rsidR="009102BF" w:rsidRPr="008823A3" w:rsidRDefault="007B2304" w:rsidP="00882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426E3D" w:rsidRPr="008823A3">
              <w:rPr>
                <w:rFonts w:ascii="Arial" w:hAnsi="Arial" w:cs="Arial"/>
                <w:sz w:val="20"/>
                <w:szCs w:val="20"/>
              </w:rPr>
              <w:t>este incremento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 propuest</w:t>
            </w:r>
            <w:r w:rsidR="00426E3D" w:rsidRPr="008823A3">
              <w:rPr>
                <w:rFonts w:ascii="Arial" w:hAnsi="Arial" w:cs="Arial"/>
                <w:sz w:val="20"/>
                <w:szCs w:val="20"/>
              </w:rPr>
              <w:t>o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0B42" w:rsidRPr="008823A3">
              <w:rPr>
                <w:rFonts w:ascii="Arial" w:hAnsi="Arial" w:cs="Arial"/>
                <w:sz w:val="20"/>
                <w:szCs w:val="20"/>
              </w:rPr>
              <w:t xml:space="preserve">se pretende establecer 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7D653E" w:rsidRPr="008823A3">
              <w:rPr>
                <w:rFonts w:ascii="Arial" w:hAnsi="Arial" w:cs="Arial"/>
                <w:sz w:val="20"/>
                <w:szCs w:val="20"/>
              </w:rPr>
              <w:t>pago equitativo</w:t>
            </w:r>
            <w:r w:rsidR="00656D8A" w:rsidRPr="008823A3">
              <w:rPr>
                <w:rFonts w:ascii="Arial" w:hAnsi="Arial" w:cs="Arial"/>
                <w:sz w:val="20"/>
                <w:szCs w:val="20"/>
              </w:rPr>
              <w:t>, al otorgar mejor proporcionalidad a la capacidad contributiva de los sujetos obligados, de tal manera que puedan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53E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D8A" w:rsidRPr="008823A3">
              <w:rPr>
                <w:rFonts w:ascii="Arial" w:hAnsi="Arial" w:cs="Arial"/>
                <w:sz w:val="20"/>
                <w:szCs w:val="20"/>
              </w:rPr>
              <w:t xml:space="preserve"> contribuir en mayor proporción quienes</w:t>
            </w:r>
            <w:r w:rsidR="007D653E" w:rsidRPr="008823A3">
              <w:rPr>
                <w:rFonts w:ascii="Arial" w:hAnsi="Arial" w:cs="Arial"/>
                <w:sz w:val="20"/>
                <w:szCs w:val="20"/>
              </w:rPr>
              <w:t xml:space="preserve"> requieran </w:t>
            </w:r>
            <w:r w:rsidR="00426E3D" w:rsidRPr="008823A3">
              <w:rPr>
                <w:rFonts w:ascii="Arial" w:hAnsi="Arial" w:cs="Arial"/>
                <w:sz w:val="20"/>
                <w:szCs w:val="20"/>
              </w:rPr>
              <w:t>este trámite.</w:t>
            </w:r>
          </w:p>
        </w:tc>
      </w:tr>
      <w:tr w:rsidR="009102BF" w14:paraId="043AC9EC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5D95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Base: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547" w14:textId="77777777" w:rsidR="009102BF" w:rsidRPr="008823A3" w:rsidRDefault="007C724F" w:rsidP="00882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sz w:val="20"/>
                <w:szCs w:val="20"/>
              </w:rPr>
              <w:t xml:space="preserve">Cobro de derechos por </w:t>
            </w:r>
            <w:r w:rsidR="00CC13FE" w:rsidRPr="008823A3">
              <w:rPr>
                <w:rFonts w:ascii="Arial" w:hAnsi="Arial" w:cs="Arial"/>
                <w:sz w:val="20"/>
                <w:szCs w:val="20"/>
              </w:rPr>
              <w:t xml:space="preserve">servicios y/o </w:t>
            </w:r>
            <w:r w:rsidRPr="008823A3">
              <w:rPr>
                <w:rFonts w:ascii="Arial" w:hAnsi="Arial" w:cs="Arial"/>
                <w:sz w:val="20"/>
                <w:szCs w:val="20"/>
              </w:rPr>
              <w:t>trámites</w:t>
            </w:r>
          </w:p>
        </w:tc>
      </w:tr>
      <w:tr w:rsidR="009102BF" w14:paraId="3E66F5E3" w14:textId="77777777" w:rsidTr="00A128B9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0DE4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Tasa o tarifa: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0"/>
              <w:gridCol w:w="1059"/>
            </w:tblGrid>
            <w:tr w:rsidR="009102BF" w:rsidRPr="008823A3" w14:paraId="6FD81425" w14:textId="77777777" w:rsidTr="00644501">
              <w:trPr>
                <w:trHeight w:val="559"/>
              </w:trPr>
              <w:tc>
                <w:tcPr>
                  <w:tcW w:w="4030" w:type="pct"/>
                  <w:vAlign w:val="bottom"/>
                </w:tcPr>
                <w:p w14:paraId="4C5ED5A5" w14:textId="31047F18" w:rsidR="009102BF" w:rsidRPr="008823A3" w:rsidRDefault="00E11883" w:rsidP="008823A3">
                  <w:pPr>
                    <w:tabs>
                      <w:tab w:val="left" w:pos="1578"/>
                    </w:tabs>
                    <w:spacing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8823A3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Tasa porcentual del </w:t>
                  </w:r>
                  <w:r w:rsidR="004B02BD" w:rsidRPr="008823A3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30</w:t>
                  </w:r>
                  <w:r w:rsidR="00426E3D" w:rsidRPr="008823A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%</w:t>
                  </w:r>
                </w:p>
              </w:tc>
              <w:tc>
                <w:tcPr>
                  <w:tcW w:w="970" w:type="pct"/>
                  <w:noWrap/>
                  <w:vAlign w:val="bottom"/>
                </w:tcPr>
                <w:p w14:paraId="6D36F168" w14:textId="77777777" w:rsidR="009102BF" w:rsidRPr="008823A3" w:rsidRDefault="009102BF" w:rsidP="008823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9102BF" w:rsidRPr="008823A3" w14:paraId="67B20C22" w14:textId="77777777" w:rsidTr="00007643">
              <w:trPr>
                <w:trHeight w:val="258"/>
              </w:trPr>
              <w:tc>
                <w:tcPr>
                  <w:tcW w:w="4030" w:type="pct"/>
                  <w:vAlign w:val="bottom"/>
                </w:tcPr>
                <w:p w14:paraId="4F89C8E6" w14:textId="77777777" w:rsidR="009102BF" w:rsidRPr="008823A3" w:rsidRDefault="009102BF" w:rsidP="008823A3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970" w:type="pct"/>
                  <w:noWrap/>
                  <w:vAlign w:val="bottom"/>
                </w:tcPr>
                <w:p w14:paraId="73ED0A53" w14:textId="77777777" w:rsidR="009102BF" w:rsidRPr="008823A3" w:rsidRDefault="009102BF" w:rsidP="008823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9102BF" w:rsidRPr="008823A3" w14:paraId="4E41AE8C" w14:textId="77777777" w:rsidTr="00007643">
              <w:trPr>
                <w:trHeight w:val="300"/>
              </w:trPr>
              <w:tc>
                <w:tcPr>
                  <w:tcW w:w="4030" w:type="pct"/>
                  <w:vAlign w:val="bottom"/>
                </w:tcPr>
                <w:p w14:paraId="34886977" w14:textId="77777777" w:rsidR="009102BF" w:rsidRPr="008823A3" w:rsidRDefault="009102BF" w:rsidP="008823A3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970" w:type="pct"/>
                  <w:noWrap/>
                  <w:vAlign w:val="bottom"/>
                </w:tcPr>
                <w:p w14:paraId="7042D065" w14:textId="77777777" w:rsidR="009102BF" w:rsidRPr="008823A3" w:rsidRDefault="009102BF" w:rsidP="008823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8D21470" w14:textId="77777777" w:rsidR="009102BF" w:rsidRPr="008823A3" w:rsidRDefault="009102BF" w:rsidP="00882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BF" w14:paraId="249017CF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E035" w14:textId="77777777" w:rsidR="009102BF" w:rsidRDefault="009102B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estudio para medir el</w:t>
            </w:r>
          </w:p>
          <w:p w14:paraId="3CED0375" w14:textId="77777777" w:rsidR="009102BF" w:rsidRDefault="009102B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Impacto recaudatorio esperado: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DCD" w14:textId="77777777" w:rsidR="009102BF" w:rsidRPr="008823A3" w:rsidRDefault="00007643" w:rsidP="00882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sz w:val="20"/>
                <w:szCs w:val="20"/>
              </w:rPr>
              <w:t xml:space="preserve">Tabla estadística de los </w:t>
            </w:r>
            <w:r w:rsidR="00E11883" w:rsidRPr="008823A3">
              <w:rPr>
                <w:rFonts w:ascii="Arial" w:hAnsi="Arial" w:cs="Arial"/>
                <w:sz w:val="20"/>
                <w:szCs w:val="20"/>
              </w:rPr>
              <w:t>derechos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 generados en las últimas </w:t>
            </w:r>
            <w:r w:rsidR="00E11883" w:rsidRPr="008823A3">
              <w:rPr>
                <w:rFonts w:ascii="Arial" w:hAnsi="Arial" w:cs="Arial"/>
                <w:sz w:val="20"/>
                <w:szCs w:val="20"/>
              </w:rPr>
              <w:t>administraciones del municipio.</w:t>
            </w:r>
          </w:p>
          <w:p w14:paraId="04434A90" w14:textId="77777777" w:rsidR="009102BF" w:rsidRPr="008823A3" w:rsidRDefault="009102BF" w:rsidP="00882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BF" w14:paraId="379238B8" w14:textId="77777777" w:rsidTr="009102BF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1B18" w14:textId="77777777" w:rsidR="009102BF" w:rsidRPr="008823A3" w:rsidRDefault="009102BF" w:rsidP="008823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3A3">
              <w:rPr>
                <w:rFonts w:ascii="Arial" w:hAnsi="Arial" w:cs="Arial"/>
                <w:b/>
                <w:sz w:val="20"/>
                <w:szCs w:val="20"/>
              </w:rPr>
              <w:t>Elementos y alcances de la contribución:</w:t>
            </w:r>
          </w:p>
        </w:tc>
      </w:tr>
      <w:tr w:rsidR="009102BF" w14:paraId="66F0438A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BE1" w14:textId="77777777" w:rsidR="009102BF" w:rsidRDefault="009102B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la proporcionalidad en relación a la capacidad contributiva del contribuyente: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A0D" w14:textId="1D278AB9" w:rsidR="00656D8A" w:rsidRPr="008823A3" w:rsidRDefault="00007643" w:rsidP="00882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E3D" w:rsidRPr="008823A3">
              <w:rPr>
                <w:rFonts w:ascii="Arial" w:hAnsi="Arial" w:cs="Arial"/>
                <w:sz w:val="20"/>
                <w:szCs w:val="20"/>
              </w:rPr>
              <w:t>El incremento del</w:t>
            </w:r>
            <w:r w:rsidR="00C535DD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2BD" w:rsidRPr="008823A3">
              <w:rPr>
                <w:rFonts w:ascii="Arial" w:hAnsi="Arial" w:cs="Arial"/>
                <w:sz w:val="20"/>
                <w:szCs w:val="20"/>
              </w:rPr>
              <w:t>30</w:t>
            </w:r>
            <w:r w:rsidR="002D4626" w:rsidRPr="008823A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, según rangos de valor y variación de porcentaje </w:t>
            </w:r>
            <w:r w:rsidR="009102BF" w:rsidRPr="008823A3">
              <w:rPr>
                <w:rFonts w:ascii="Arial" w:hAnsi="Arial" w:cs="Arial"/>
                <w:sz w:val="20"/>
                <w:szCs w:val="20"/>
              </w:rPr>
              <w:t xml:space="preserve">propuesto, no representa un impacto al </w:t>
            </w:r>
            <w:r w:rsidRPr="008823A3">
              <w:rPr>
                <w:rFonts w:ascii="Arial" w:hAnsi="Arial" w:cs="Arial"/>
                <w:sz w:val="20"/>
                <w:szCs w:val="20"/>
              </w:rPr>
              <w:t>contri</w:t>
            </w:r>
            <w:r w:rsidR="009A09BB" w:rsidRPr="008823A3">
              <w:rPr>
                <w:rFonts w:ascii="Arial" w:hAnsi="Arial" w:cs="Arial"/>
                <w:sz w:val="20"/>
                <w:szCs w:val="20"/>
              </w:rPr>
              <w:t>buyente que solicita</w:t>
            </w:r>
            <w:r w:rsidR="002D4626" w:rsidRPr="008823A3">
              <w:rPr>
                <w:rFonts w:ascii="Arial" w:hAnsi="Arial" w:cs="Arial"/>
                <w:sz w:val="20"/>
                <w:szCs w:val="20"/>
              </w:rPr>
              <w:t xml:space="preserve"> este trámite</w:t>
            </w:r>
            <w:r w:rsidR="00B5305E" w:rsidRPr="008823A3">
              <w:rPr>
                <w:rFonts w:ascii="Arial" w:hAnsi="Arial" w:cs="Arial"/>
                <w:sz w:val="20"/>
                <w:szCs w:val="20"/>
              </w:rPr>
              <w:t>,</w:t>
            </w:r>
            <w:r w:rsidR="009102BF" w:rsidRPr="008823A3">
              <w:rPr>
                <w:rFonts w:ascii="Arial" w:hAnsi="Arial" w:cs="Arial"/>
                <w:sz w:val="20"/>
                <w:szCs w:val="20"/>
              </w:rPr>
              <w:t xml:space="preserve"> toda vez que </w:t>
            </w:r>
            <w:r w:rsidRPr="008823A3">
              <w:rPr>
                <w:rFonts w:ascii="Arial" w:hAnsi="Arial" w:cs="Arial"/>
                <w:sz w:val="20"/>
                <w:szCs w:val="20"/>
              </w:rPr>
              <w:t>apli</w:t>
            </w:r>
            <w:r w:rsidR="009A09BB" w:rsidRPr="008823A3">
              <w:rPr>
                <w:rFonts w:ascii="Arial" w:hAnsi="Arial" w:cs="Arial"/>
                <w:sz w:val="20"/>
                <w:szCs w:val="20"/>
              </w:rPr>
              <w:t>cando una cuota fija</w:t>
            </w:r>
            <w:r w:rsidR="00D85581" w:rsidRPr="008823A3">
              <w:rPr>
                <w:rFonts w:ascii="Arial" w:hAnsi="Arial" w:cs="Arial"/>
                <w:sz w:val="20"/>
                <w:szCs w:val="20"/>
              </w:rPr>
              <w:t xml:space="preserve"> anual</w:t>
            </w:r>
            <w:r w:rsidR="005A2A6E" w:rsidRPr="008823A3">
              <w:rPr>
                <w:rFonts w:ascii="Arial" w:hAnsi="Arial" w:cs="Arial"/>
                <w:sz w:val="20"/>
                <w:szCs w:val="20"/>
              </w:rPr>
              <w:t>, mantiene la proporcionalidad y racionalidad en el pago de</w:t>
            </w:r>
            <w:r w:rsidR="009A09BB" w:rsidRPr="008823A3">
              <w:rPr>
                <w:rFonts w:ascii="Arial" w:hAnsi="Arial" w:cs="Arial"/>
                <w:sz w:val="20"/>
                <w:szCs w:val="20"/>
              </w:rPr>
              <w:t>l derecho</w:t>
            </w:r>
            <w:r w:rsidR="005A2A6E" w:rsidRPr="008823A3">
              <w:rPr>
                <w:rFonts w:ascii="Arial" w:hAnsi="Arial" w:cs="Arial"/>
                <w:sz w:val="20"/>
                <w:szCs w:val="20"/>
              </w:rPr>
              <w:t xml:space="preserve"> generado</w:t>
            </w:r>
            <w:r w:rsidR="00014D07" w:rsidRPr="008823A3">
              <w:rPr>
                <w:rFonts w:ascii="Arial" w:hAnsi="Arial" w:cs="Arial"/>
                <w:sz w:val="20"/>
                <w:szCs w:val="20"/>
              </w:rPr>
              <w:t xml:space="preserve">, ya que se </w:t>
            </w:r>
            <w:r w:rsidR="002D4626" w:rsidRPr="008823A3">
              <w:rPr>
                <w:rFonts w:ascii="Arial" w:hAnsi="Arial" w:cs="Arial"/>
                <w:sz w:val="20"/>
                <w:szCs w:val="20"/>
              </w:rPr>
              <w:t>toma como</w:t>
            </w:r>
            <w:r w:rsidR="00014D07" w:rsidRPr="008823A3">
              <w:rPr>
                <w:rFonts w:ascii="Arial" w:hAnsi="Arial" w:cs="Arial"/>
                <w:sz w:val="20"/>
                <w:szCs w:val="20"/>
              </w:rPr>
              <w:t xml:space="preserve"> base la </w:t>
            </w:r>
            <w:r w:rsidR="00C85F04" w:rsidRPr="008823A3">
              <w:rPr>
                <w:rFonts w:ascii="Arial" w:hAnsi="Arial" w:cs="Arial"/>
                <w:sz w:val="20"/>
                <w:szCs w:val="20"/>
              </w:rPr>
              <w:t>tarifa actual,</w:t>
            </w:r>
            <w:r w:rsidR="00014D07" w:rsidRPr="008823A3">
              <w:rPr>
                <w:rFonts w:ascii="Arial" w:hAnsi="Arial" w:cs="Arial"/>
                <w:sz w:val="20"/>
                <w:szCs w:val="20"/>
              </w:rPr>
              <w:t xml:space="preserve"> elevada al </w:t>
            </w:r>
            <w:r w:rsidR="00D85581" w:rsidRPr="008823A3">
              <w:rPr>
                <w:rFonts w:ascii="Arial" w:hAnsi="Arial" w:cs="Arial"/>
                <w:sz w:val="20"/>
                <w:szCs w:val="20"/>
              </w:rPr>
              <w:t>30</w:t>
            </w:r>
            <w:r w:rsidR="00014D07" w:rsidRPr="008823A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  <w:r w:rsidR="002D4626" w:rsidRPr="008823A3">
              <w:rPr>
                <w:rFonts w:ascii="Arial" w:hAnsi="Arial" w:cs="Arial"/>
                <w:sz w:val="20"/>
                <w:szCs w:val="20"/>
              </w:rPr>
              <w:t>, esto para generar una proporcionalidad en los costos de generación del trámite.</w:t>
            </w:r>
          </w:p>
        </w:tc>
      </w:tr>
      <w:tr w:rsidR="009102BF" w14:paraId="39665D30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F7C6" w14:textId="77777777" w:rsidR="009102BF" w:rsidRDefault="009102B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la equidad en el cobro: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3D53" w14:textId="1F20E4DD" w:rsidR="009102BF" w:rsidRPr="008823A3" w:rsidRDefault="009102BF" w:rsidP="00882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sz w:val="20"/>
                <w:szCs w:val="20"/>
              </w:rPr>
              <w:t>La base de cobro,</w:t>
            </w:r>
            <w:r w:rsidR="00B377E1" w:rsidRPr="008823A3">
              <w:rPr>
                <w:rFonts w:ascii="Arial" w:hAnsi="Arial" w:cs="Arial"/>
                <w:sz w:val="20"/>
                <w:szCs w:val="20"/>
              </w:rPr>
              <w:t xml:space="preserve"> es una cuota fija</w:t>
            </w:r>
            <w:r w:rsidR="003F68C8" w:rsidRPr="008823A3">
              <w:rPr>
                <w:rFonts w:ascii="Arial" w:hAnsi="Arial" w:cs="Arial"/>
                <w:sz w:val="20"/>
                <w:szCs w:val="20"/>
              </w:rPr>
              <w:t xml:space="preserve"> anual</w:t>
            </w:r>
            <w:r w:rsidR="00B377E1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626" w:rsidRPr="008823A3">
              <w:rPr>
                <w:rFonts w:ascii="Arial" w:hAnsi="Arial" w:cs="Arial"/>
                <w:sz w:val="20"/>
                <w:szCs w:val="20"/>
              </w:rPr>
              <w:t>que mantiene</w:t>
            </w:r>
            <w:r w:rsidR="00B377E1" w:rsidRPr="008823A3">
              <w:rPr>
                <w:rFonts w:ascii="Arial" w:hAnsi="Arial" w:cs="Arial"/>
                <w:sz w:val="20"/>
                <w:szCs w:val="20"/>
              </w:rPr>
              <w:t xml:space="preserve"> la proporcionalidad y racionalidad en el cobro del derecho generado</w:t>
            </w:r>
            <w:r w:rsidR="00C85F04" w:rsidRPr="008823A3">
              <w:rPr>
                <w:rFonts w:ascii="Arial" w:hAnsi="Arial" w:cs="Arial"/>
                <w:sz w:val="20"/>
                <w:szCs w:val="20"/>
              </w:rPr>
              <w:t xml:space="preserve">, ya que se </w:t>
            </w:r>
            <w:r w:rsidR="002D4626" w:rsidRPr="008823A3">
              <w:rPr>
                <w:rFonts w:ascii="Arial" w:hAnsi="Arial" w:cs="Arial"/>
                <w:sz w:val="20"/>
                <w:szCs w:val="20"/>
              </w:rPr>
              <w:t>toma como</w:t>
            </w:r>
            <w:r w:rsidR="00C85F04" w:rsidRPr="008823A3">
              <w:rPr>
                <w:rFonts w:ascii="Arial" w:hAnsi="Arial" w:cs="Arial"/>
                <w:sz w:val="20"/>
                <w:szCs w:val="20"/>
              </w:rPr>
              <w:t xml:space="preserve"> base la tarifa actual, elevada al </w:t>
            </w:r>
            <w:r w:rsidR="00D85581" w:rsidRPr="008823A3">
              <w:rPr>
                <w:rFonts w:ascii="Arial" w:hAnsi="Arial" w:cs="Arial"/>
                <w:sz w:val="20"/>
                <w:szCs w:val="20"/>
              </w:rPr>
              <w:t>30</w:t>
            </w:r>
            <w:r w:rsidR="002D4626" w:rsidRPr="008823A3">
              <w:rPr>
                <w:rFonts w:ascii="Arial" w:hAnsi="Arial" w:cs="Arial"/>
                <w:sz w:val="20"/>
                <w:szCs w:val="20"/>
              </w:rPr>
              <w:t xml:space="preserve">%, que representa la cobertura </w:t>
            </w:r>
            <w:r w:rsidR="00CF04B4" w:rsidRPr="008823A3">
              <w:rPr>
                <w:rFonts w:ascii="Arial" w:hAnsi="Arial" w:cs="Arial"/>
                <w:sz w:val="20"/>
                <w:szCs w:val="20"/>
              </w:rPr>
              <w:t>del costo</w:t>
            </w:r>
            <w:r w:rsidR="002D4626" w:rsidRPr="008823A3">
              <w:rPr>
                <w:rFonts w:ascii="Arial" w:hAnsi="Arial" w:cs="Arial"/>
                <w:sz w:val="20"/>
                <w:szCs w:val="20"/>
              </w:rPr>
              <w:t xml:space="preserve"> para poder realizar el trámite.</w:t>
            </w:r>
          </w:p>
        </w:tc>
      </w:tr>
      <w:tr w:rsidR="009102BF" w14:paraId="0D215693" w14:textId="77777777" w:rsidTr="00A128B9">
        <w:trPr>
          <w:trHeight w:val="7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195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Impacto social:</w:t>
            </w:r>
          </w:p>
          <w:p w14:paraId="71A1FE1E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  <w:p w14:paraId="6E9EBF8E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  <w:p w14:paraId="5B2791C3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  <w:p w14:paraId="180FC454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  <w:p w14:paraId="2FEB7FDE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7B6" w14:textId="27F2BD7B" w:rsidR="009102BF" w:rsidRPr="008823A3" w:rsidRDefault="00D75FF1" w:rsidP="008823A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sz w:val="20"/>
                <w:szCs w:val="20"/>
              </w:rPr>
              <w:t>Concientización a los contribuyentes del pago justo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>,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>la complejidad del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 tipo de trámite, 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>ya que la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 normatividad </w:t>
            </w:r>
            <w:r w:rsidR="00F2700C" w:rsidRPr="008823A3">
              <w:rPr>
                <w:rFonts w:ascii="Arial" w:hAnsi="Arial" w:cs="Arial"/>
                <w:sz w:val="20"/>
                <w:szCs w:val="20"/>
              </w:rPr>
              <w:t xml:space="preserve">que debe cumplir y/o </w:t>
            </w:r>
            <w:r w:rsidRPr="008823A3">
              <w:rPr>
                <w:rFonts w:ascii="Arial" w:hAnsi="Arial" w:cs="Arial"/>
                <w:sz w:val="20"/>
                <w:szCs w:val="20"/>
              </w:rPr>
              <w:t>sujetarse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>, es obligatoria</w:t>
            </w:r>
            <w:r w:rsidR="008823A3">
              <w:rPr>
                <w:rFonts w:ascii="Arial" w:hAnsi="Arial" w:cs="Arial"/>
                <w:sz w:val="20"/>
                <w:szCs w:val="20"/>
              </w:rPr>
              <w:t>,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3A3">
              <w:rPr>
                <w:rFonts w:ascii="Arial" w:hAnsi="Arial" w:cs="Arial"/>
                <w:sz w:val="20"/>
                <w:szCs w:val="20"/>
              </w:rPr>
              <w:t xml:space="preserve"> pues</w:t>
            </w:r>
            <w:r w:rsidR="006B0A3F" w:rsidRPr="008823A3">
              <w:rPr>
                <w:rFonts w:ascii="Arial" w:hAnsi="Arial" w:cs="Arial"/>
                <w:sz w:val="20"/>
                <w:szCs w:val="20"/>
              </w:rPr>
              <w:t xml:space="preserve"> tiene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574EAE" w:rsidRPr="008823A3">
              <w:rPr>
                <w:rFonts w:ascii="Arial" w:hAnsi="Arial" w:cs="Arial"/>
                <w:sz w:val="20"/>
                <w:szCs w:val="20"/>
              </w:rPr>
              <w:t xml:space="preserve"> finalidad de garantizar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EAE" w:rsidRPr="008823A3">
              <w:rPr>
                <w:rFonts w:ascii="Arial" w:hAnsi="Arial" w:cs="Arial"/>
                <w:sz w:val="20"/>
                <w:szCs w:val="20"/>
              </w:rPr>
              <w:t>confiabilidad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 xml:space="preserve"> y seguridad</w:t>
            </w:r>
            <w:r w:rsidR="00574EAE" w:rsidRPr="0088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3A3">
              <w:rPr>
                <w:rFonts w:ascii="Arial" w:hAnsi="Arial" w:cs="Arial"/>
                <w:sz w:val="20"/>
                <w:szCs w:val="20"/>
              </w:rPr>
              <w:t>respecto a</w:t>
            </w:r>
            <w:r w:rsidR="00574EAE" w:rsidRPr="008823A3">
              <w:rPr>
                <w:rFonts w:ascii="Arial" w:hAnsi="Arial" w:cs="Arial"/>
                <w:sz w:val="20"/>
                <w:szCs w:val="20"/>
              </w:rPr>
              <w:t xml:space="preserve"> las medidas </w:t>
            </w:r>
            <w:r w:rsidR="00200263" w:rsidRPr="008823A3">
              <w:rPr>
                <w:rFonts w:ascii="Arial" w:hAnsi="Arial" w:cs="Arial"/>
                <w:sz w:val="20"/>
                <w:szCs w:val="20"/>
              </w:rPr>
              <w:t>de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 xml:space="preserve"> prevención </w:t>
            </w:r>
            <w:r w:rsidR="00574EAE" w:rsidRPr="008823A3">
              <w:rPr>
                <w:rFonts w:ascii="Arial" w:hAnsi="Arial" w:cs="Arial"/>
                <w:sz w:val="20"/>
                <w:szCs w:val="20"/>
              </w:rPr>
              <w:t xml:space="preserve">y mitigación de riesgos en </w:t>
            </w:r>
            <w:r w:rsidR="00200263" w:rsidRPr="008823A3">
              <w:rPr>
                <w:rFonts w:ascii="Arial" w:hAnsi="Arial" w:cs="Arial"/>
                <w:sz w:val="20"/>
                <w:szCs w:val="20"/>
              </w:rPr>
              <w:t>materia de protección civil</w:t>
            </w:r>
            <w:r w:rsidR="00632D93" w:rsidRPr="008823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02BF" w14:paraId="3A137D99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F6C7" w14:textId="77777777" w:rsidR="009102BF" w:rsidRDefault="009102BF" w:rsidP="00515B9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Estrategia en la gestión recaudatoria: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2508" w14:textId="77777777" w:rsidR="009102BF" w:rsidRPr="008823A3" w:rsidRDefault="005A2A6E" w:rsidP="00882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23A3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0162EA" w:rsidRPr="008823A3">
              <w:rPr>
                <w:rFonts w:ascii="Arial" w:hAnsi="Arial" w:cs="Arial"/>
                <w:sz w:val="20"/>
                <w:szCs w:val="20"/>
              </w:rPr>
              <w:t>instaurará al</w:t>
            </w:r>
            <w:r w:rsidRPr="008823A3">
              <w:rPr>
                <w:rFonts w:ascii="Arial" w:hAnsi="Arial" w:cs="Arial"/>
                <w:sz w:val="20"/>
                <w:szCs w:val="20"/>
              </w:rPr>
              <w:t xml:space="preserve"> momento </w:t>
            </w:r>
            <w:r w:rsidR="008A017D" w:rsidRPr="008823A3">
              <w:rPr>
                <w:rFonts w:ascii="Arial" w:hAnsi="Arial" w:cs="Arial"/>
                <w:sz w:val="20"/>
                <w:szCs w:val="20"/>
              </w:rPr>
              <w:t xml:space="preserve">de la gestión o </w:t>
            </w:r>
            <w:r w:rsidR="000162EA" w:rsidRPr="008823A3">
              <w:rPr>
                <w:rFonts w:ascii="Arial" w:hAnsi="Arial" w:cs="Arial"/>
                <w:sz w:val="20"/>
                <w:szCs w:val="20"/>
              </w:rPr>
              <w:t>solicitud del</w:t>
            </w:r>
            <w:r w:rsidR="008A017D" w:rsidRPr="008823A3">
              <w:rPr>
                <w:rFonts w:ascii="Arial" w:hAnsi="Arial" w:cs="Arial"/>
                <w:sz w:val="20"/>
                <w:szCs w:val="20"/>
              </w:rPr>
              <w:t xml:space="preserve"> trámite ante esta Dirección.</w:t>
            </w:r>
          </w:p>
        </w:tc>
      </w:tr>
      <w:tr w:rsidR="009102BF" w14:paraId="57C53405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52" w14:textId="77777777" w:rsidR="009102BF" w:rsidRDefault="009102BF" w:rsidP="00515B9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la contribución:</w:t>
            </w:r>
          </w:p>
          <w:p w14:paraId="02EC7710" w14:textId="77777777" w:rsidR="009102BF" w:rsidRDefault="009102BF" w:rsidP="00515B9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7ED" w14:textId="77777777" w:rsidR="009102BF" w:rsidRPr="007C724F" w:rsidRDefault="009102B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24F">
              <w:rPr>
                <w:rFonts w:ascii="Arial" w:hAnsi="Arial" w:cs="Arial"/>
                <w:sz w:val="20"/>
                <w:szCs w:val="20"/>
              </w:rPr>
              <w:t xml:space="preserve">La recaudación forma parte del gasto corriente con que cuenta el municipio para la prestación de los servicios públicos a su cargo. </w:t>
            </w:r>
          </w:p>
          <w:p w14:paraId="53F421E5" w14:textId="77777777" w:rsidR="009102BF" w:rsidRPr="007C724F" w:rsidRDefault="009102B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BF" w14:paraId="1F419B88" w14:textId="77777777" w:rsidTr="00A128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7E3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Argumentación:</w:t>
            </w:r>
          </w:p>
          <w:p w14:paraId="402911A9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  <w:p w14:paraId="02976434" w14:textId="77777777" w:rsidR="009102BF" w:rsidRDefault="009102BF">
            <w:pPr>
              <w:spacing w:line="240" w:lineRule="auto"/>
              <w:rPr>
                <w:rFonts w:ascii="Arial" w:hAnsi="Arial" w:cs="Arial"/>
              </w:rPr>
            </w:pPr>
          </w:p>
          <w:p w14:paraId="04EBD046" w14:textId="77777777" w:rsidR="009102BF" w:rsidRDefault="009102BF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*Explicación pormenorizada del porque los estudios realizados demuestran la intención de la iniciativa, y como es que estos se encuentran apegados al marco jurídico.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571" w14:textId="77777777" w:rsidR="009102BF" w:rsidRPr="007C724F" w:rsidRDefault="009102B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24F">
              <w:rPr>
                <w:rFonts w:ascii="Arial" w:hAnsi="Arial" w:cs="Arial"/>
                <w:b/>
                <w:sz w:val="20"/>
                <w:szCs w:val="20"/>
              </w:rPr>
              <w:t>Antecedentes:</w:t>
            </w:r>
          </w:p>
          <w:p w14:paraId="07BAA0BD" w14:textId="77777777" w:rsidR="009102BF" w:rsidRPr="007C724F" w:rsidRDefault="00526B18" w:rsidP="002D462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24F">
              <w:rPr>
                <w:rFonts w:ascii="Arial" w:hAnsi="Arial" w:cs="Arial"/>
                <w:sz w:val="20"/>
                <w:szCs w:val="20"/>
              </w:rPr>
              <w:t xml:space="preserve">Las cuotas de los </w:t>
            </w:r>
            <w:r w:rsidR="00B757ED" w:rsidRPr="007C724F">
              <w:rPr>
                <w:rFonts w:ascii="Arial" w:hAnsi="Arial" w:cs="Arial"/>
                <w:sz w:val="20"/>
                <w:szCs w:val="20"/>
              </w:rPr>
              <w:t>derechos se</w:t>
            </w:r>
            <w:r w:rsidR="00027509" w:rsidRPr="007C7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24F">
              <w:rPr>
                <w:rFonts w:ascii="Arial" w:hAnsi="Arial" w:cs="Arial"/>
                <w:sz w:val="20"/>
                <w:szCs w:val="20"/>
              </w:rPr>
              <w:t>actualizarán anualmente</w:t>
            </w:r>
            <w:r w:rsidR="00B757ED" w:rsidRPr="007C724F">
              <w:rPr>
                <w:rFonts w:ascii="Arial" w:hAnsi="Arial" w:cs="Arial"/>
                <w:sz w:val="20"/>
                <w:szCs w:val="20"/>
              </w:rPr>
              <w:t>. El pago de los derechos que establece esta Ley deberá hacerse por el contribuyente previamente a la prestación de los servicios</w:t>
            </w:r>
            <w:r w:rsidR="002002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B51E0C" w14:textId="77777777" w:rsidR="00B16574" w:rsidRPr="007C724F" w:rsidRDefault="00B1657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E6C5B" w14:textId="77777777" w:rsidR="009102BF" w:rsidRPr="007C724F" w:rsidRDefault="009102B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24F">
              <w:rPr>
                <w:rFonts w:ascii="Arial" w:hAnsi="Arial" w:cs="Arial"/>
                <w:b/>
                <w:sz w:val="20"/>
                <w:szCs w:val="20"/>
              </w:rPr>
              <w:t>Consideraciones que soportan el cambio:</w:t>
            </w:r>
          </w:p>
          <w:p w14:paraId="039FA92B" w14:textId="396917E4" w:rsidR="001C737B" w:rsidRDefault="009102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C724F">
              <w:rPr>
                <w:rFonts w:ascii="Arial" w:hAnsi="Arial" w:cs="Arial"/>
                <w:sz w:val="20"/>
                <w:szCs w:val="20"/>
              </w:rPr>
              <w:t xml:space="preserve">Se realizó un </w:t>
            </w:r>
            <w:r w:rsidR="00387D1D" w:rsidRPr="007C724F">
              <w:rPr>
                <w:rFonts w:ascii="Arial" w:hAnsi="Arial" w:cs="Arial"/>
                <w:sz w:val="20"/>
                <w:szCs w:val="20"/>
              </w:rPr>
              <w:t>análisis del</w:t>
            </w:r>
            <w:r w:rsidR="00B16574" w:rsidRPr="007C724F">
              <w:rPr>
                <w:rFonts w:ascii="Arial" w:hAnsi="Arial" w:cs="Arial"/>
                <w:sz w:val="20"/>
                <w:szCs w:val="20"/>
              </w:rPr>
              <w:t xml:space="preserve"> incremento propuesto</w:t>
            </w:r>
            <w:r w:rsidR="001C737B" w:rsidRPr="007C724F">
              <w:rPr>
                <w:rFonts w:ascii="Arial" w:hAnsi="Arial" w:cs="Arial"/>
                <w:sz w:val="20"/>
                <w:szCs w:val="20"/>
              </w:rPr>
              <w:t xml:space="preserve">, encontrando que </w:t>
            </w:r>
            <w:r w:rsidR="00B16574" w:rsidRPr="007C724F">
              <w:rPr>
                <w:rFonts w:ascii="Arial" w:hAnsi="Arial" w:cs="Arial"/>
                <w:sz w:val="20"/>
                <w:szCs w:val="20"/>
              </w:rPr>
              <w:t xml:space="preserve">el impacto </w:t>
            </w:r>
            <w:r w:rsidR="00387D1D" w:rsidRPr="007C724F">
              <w:rPr>
                <w:rFonts w:ascii="Arial" w:hAnsi="Arial" w:cs="Arial"/>
                <w:sz w:val="20"/>
                <w:szCs w:val="20"/>
              </w:rPr>
              <w:t>económico es</w:t>
            </w:r>
            <w:r w:rsidR="00B16574" w:rsidRPr="007C724F">
              <w:rPr>
                <w:rFonts w:ascii="Arial" w:hAnsi="Arial" w:cs="Arial"/>
                <w:sz w:val="20"/>
                <w:szCs w:val="20"/>
              </w:rPr>
              <w:t xml:space="preserve"> mínimo </w:t>
            </w:r>
            <w:r w:rsidR="00387D1D" w:rsidRPr="007C724F">
              <w:rPr>
                <w:rFonts w:ascii="Arial" w:hAnsi="Arial" w:cs="Arial"/>
                <w:sz w:val="20"/>
                <w:szCs w:val="20"/>
              </w:rPr>
              <w:t>para el</w:t>
            </w:r>
            <w:r w:rsidR="00B16574" w:rsidRPr="007C7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37B" w:rsidRPr="007C724F">
              <w:rPr>
                <w:rFonts w:ascii="Arial" w:hAnsi="Arial" w:cs="Arial"/>
                <w:sz w:val="20"/>
                <w:szCs w:val="20"/>
              </w:rPr>
              <w:t xml:space="preserve">contribuyente y si se </w:t>
            </w:r>
            <w:r w:rsidR="00B16574" w:rsidRPr="007C724F">
              <w:rPr>
                <w:rFonts w:ascii="Arial" w:hAnsi="Arial" w:cs="Arial"/>
                <w:sz w:val="20"/>
                <w:szCs w:val="20"/>
              </w:rPr>
              <w:t>mejora</w:t>
            </w:r>
            <w:r w:rsidR="001C737B" w:rsidRPr="007C724F">
              <w:rPr>
                <w:rFonts w:ascii="Arial" w:hAnsi="Arial" w:cs="Arial"/>
                <w:sz w:val="20"/>
                <w:szCs w:val="20"/>
              </w:rPr>
              <w:t xml:space="preserve"> la recaudación.</w:t>
            </w:r>
            <w:r w:rsidR="00632D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C6533B" w14:textId="4673CA43" w:rsidR="00632D93" w:rsidRDefault="00632D9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233F49" w14:textId="79A28CEB" w:rsidR="00632D93" w:rsidRPr="007C724F" w:rsidRDefault="00632D9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contribuyentes obligados a realizar este trámite son </w:t>
            </w:r>
            <w:r w:rsidR="006B0A3F">
              <w:rPr>
                <w:rFonts w:ascii="Arial" w:hAnsi="Arial" w:cs="Arial"/>
                <w:sz w:val="20"/>
                <w:szCs w:val="20"/>
              </w:rPr>
              <w:t>comercios</w:t>
            </w:r>
            <w:r w:rsidR="00BD0411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6B0A3F">
              <w:rPr>
                <w:rFonts w:ascii="Arial" w:hAnsi="Arial" w:cs="Arial"/>
                <w:sz w:val="20"/>
                <w:szCs w:val="20"/>
              </w:rPr>
              <w:t xml:space="preserve"> instituciones </w:t>
            </w:r>
            <w:r w:rsidR="008823A3">
              <w:rPr>
                <w:rFonts w:ascii="Arial" w:hAnsi="Arial" w:cs="Arial"/>
                <w:sz w:val="20"/>
                <w:szCs w:val="20"/>
              </w:rPr>
              <w:t>formales, lo</w:t>
            </w:r>
            <w:r w:rsidR="006B0A3F">
              <w:rPr>
                <w:rFonts w:ascii="Arial" w:hAnsi="Arial" w:cs="Arial"/>
                <w:sz w:val="20"/>
                <w:szCs w:val="20"/>
              </w:rPr>
              <w:t xml:space="preserve"> cual es un factor </w:t>
            </w:r>
            <w:r w:rsidR="00BD0411">
              <w:rPr>
                <w:rFonts w:ascii="Arial" w:hAnsi="Arial" w:cs="Arial"/>
                <w:sz w:val="20"/>
                <w:szCs w:val="20"/>
              </w:rPr>
              <w:t>determinante</w:t>
            </w:r>
            <w:r w:rsidR="006B0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411">
              <w:rPr>
                <w:rFonts w:ascii="Arial" w:hAnsi="Arial" w:cs="Arial"/>
                <w:sz w:val="20"/>
                <w:szCs w:val="20"/>
              </w:rPr>
              <w:t xml:space="preserve">que indica </w:t>
            </w:r>
            <w:r w:rsidR="006B0A3F">
              <w:rPr>
                <w:rFonts w:ascii="Arial" w:hAnsi="Arial" w:cs="Arial"/>
                <w:sz w:val="20"/>
                <w:szCs w:val="20"/>
              </w:rPr>
              <w:t>estabilidad financiera</w:t>
            </w:r>
            <w:r w:rsidR="00BD0411">
              <w:rPr>
                <w:rFonts w:ascii="Arial" w:hAnsi="Arial" w:cs="Arial"/>
                <w:sz w:val="20"/>
                <w:szCs w:val="20"/>
              </w:rPr>
              <w:t xml:space="preserve"> y capacidad contributiva.</w:t>
            </w:r>
          </w:p>
          <w:p w14:paraId="1595AA6C" w14:textId="77777777" w:rsidR="009102BF" w:rsidRPr="007C724F" w:rsidRDefault="009102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B7BD83" w14:textId="77777777" w:rsidR="00B16574" w:rsidRPr="007C724F" w:rsidRDefault="009102B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24F">
              <w:rPr>
                <w:rFonts w:ascii="Arial" w:hAnsi="Arial" w:cs="Arial"/>
                <w:b/>
                <w:sz w:val="20"/>
                <w:szCs w:val="20"/>
              </w:rPr>
              <w:t>Propuesta de modificación:</w:t>
            </w:r>
          </w:p>
          <w:p w14:paraId="08EE20FC" w14:textId="77777777" w:rsidR="00B16574" w:rsidRPr="007C724F" w:rsidRDefault="00C76139" w:rsidP="00387D1D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incremento que </w:t>
            </w:r>
            <w:r w:rsidR="00C67C56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C67C56" w:rsidRPr="007C724F">
              <w:rPr>
                <w:rFonts w:ascii="Arial" w:hAnsi="Arial" w:cs="Arial"/>
                <w:sz w:val="20"/>
                <w:szCs w:val="20"/>
              </w:rPr>
              <w:t>sugiere</w:t>
            </w:r>
            <w:r w:rsidR="00B16574" w:rsidRPr="007C724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87D1D" w:rsidRPr="007C724F">
              <w:rPr>
                <w:rFonts w:ascii="Arial" w:hAnsi="Arial" w:cs="Arial"/>
                <w:sz w:val="20"/>
                <w:szCs w:val="20"/>
              </w:rPr>
              <w:t>es en rango de valor de la capacidad contributiva,</w:t>
            </w:r>
            <w:r w:rsidR="004A774B">
              <w:rPr>
                <w:rFonts w:ascii="Arial" w:hAnsi="Arial" w:cs="Arial"/>
                <w:sz w:val="20"/>
                <w:szCs w:val="20"/>
              </w:rPr>
              <w:t xml:space="preserve"> factores</w:t>
            </w:r>
            <w:r w:rsidR="009B7327">
              <w:rPr>
                <w:rFonts w:ascii="Arial" w:hAnsi="Arial" w:cs="Arial"/>
                <w:sz w:val="20"/>
                <w:szCs w:val="20"/>
              </w:rPr>
              <w:t xml:space="preserve"> que influyen </w:t>
            </w:r>
            <w:r>
              <w:rPr>
                <w:rFonts w:ascii="Arial" w:hAnsi="Arial" w:cs="Arial"/>
                <w:sz w:val="20"/>
                <w:szCs w:val="20"/>
              </w:rPr>
              <w:t>directamente para</w:t>
            </w:r>
            <w:r w:rsidR="004A774B">
              <w:rPr>
                <w:rFonts w:ascii="Arial" w:hAnsi="Arial" w:cs="Arial"/>
                <w:sz w:val="20"/>
                <w:szCs w:val="20"/>
              </w:rPr>
              <w:t xml:space="preserve"> su </w:t>
            </w:r>
            <w:r w:rsidR="009B7327">
              <w:rPr>
                <w:rFonts w:ascii="Arial" w:hAnsi="Arial" w:cs="Arial"/>
                <w:sz w:val="20"/>
                <w:szCs w:val="20"/>
              </w:rPr>
              <w:t xml:space="preserve">realización, </w:t>
            </w:r>
            <w:r w:rsidR="009B7327" w:rsidRPr="007C724F">
              <w:rPr>
                <w:rFonts w:ascii="Arial" w:hAnsi="Arial" w:cs="Arial"/>
                <w:sz w:val="20"/>
                <w:szCs w:val="20"/>
              </w:rPr>
              <w:t>tipo</w:t>
            </w:r>
            <w:r w:rsidR="00387D1D" w:rsidRPr="007C724F">
              <w:rPr>
                <w:rFonts w:ascii="Arial" w:hAnsi="Arial" w:cs="Arial"/>
                <w:sz w:val="20"/>
                <w:szCs w:val="20"/>
              </w:rPr>
              <w:t xml:space="preserve"> y tiempo de renovación del   trámite, de acuerdo a la tabla de cálculo que se anexa.</w:t>
            </w:r>
          </w:p>
          <w:p w14:paraId="32742795" w14:textId="77777777" w:rsidR="009102BF" w:rsidRPr="007C724F" w:rsidRDefault="009102B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F5646" w14:textId="77777777" w:rsidR="009102BF" w:rsidRPr="007C724F" w:rsidRDefault="009102B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24F">
              <w:rPr>
                <w:rFonts w:ascii="Arial" w:hAnsi="Arial" w:cs="Arial"/>
                <w:b/>
                <w:sz w:val="20"/>
                <w:szCs w:val="20"/>
              </w:rPr>
              <w:t>Conclusiones:</w:t>
            </w:r>
          </w:p>
          <w:p w14:paraId="263D786C" w14:textId="27439B3B" w:rsidR="009102BF" w:rsidRPr="007C724F" w:rsidRDefault="009102BF" w:rsidP="007C72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C724F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F26ECA" w:rsidRPr="007C724F">
              <w:rPr>
                <w:rFonts w:ascii="Arial" w:hAnsi="Arial" w:cs="Arial"/>
                <w:sz w:val="20"/>
                <w:szCs w:val="20"/>
              </w:rPr>
              <w:t>incremento no</w:t>
            </w:r>
            <w:r w:rsidR="0095630F" w:rsidRPr="007C724F">
              <w:rPr>
                <w:rFonts w:ascii="Arial" w:hAnsi="Arial" w:cs="Arial"/>
                <w:sz w:val="20"/>
                <w:szCs w:val="20"/>
              </w:rPr>
              <w:t xml:space="preserve"> es representativo</w:t>
            </w:r>
            <w:r w:rsidRPr="007C724F">
              <w:rPr>
                <w:rFonts w:ascii="Arial" w:hAnsi="Arial" w:cs="Arial"/>
                <w:sz w:val="20"/>
                <w:szCs w:val="20"/>
              </w:rPr>
              <w:t xml:space="preserve"> para los </w:t>
            </w:r>
            <w:r w:rsidR="001C737B" w:rsidRPr="007C724F">
              <w:rPr>
                <w:rFonts w:ascii="Arial" w:hAnsi="Arial" w:cs="Arial"/>
                <w:sz w:val="20"/>
                <w:szCs w:val="20"/>
              </w:rPr>
              <w:t>contribuyentes</w:t>
            </w:r>
            <w:r w:rsidRPr="007C7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37B" w:rsidRPr="007C724F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F26ECA" w:rsidRPr="007C724F">
              <w:rPr>
                <w:rFonts w:ascii="Arial" w:hAnsi="Arial" w:cs="Arial"/>
                <w:sz w:val="20"/>
                <w:szCs w:val="20"/>
              </w:rPr>
              <w:t xml:space="preserve">realizan trámites en </w:t>
            </w:r>
            <w:r w:rsidR="008823A3">
              <w:rPr>
                <w:rFonts w:ascii="Arial" w:hAnsi="Arial" w:cs="Arial"/>
                <w:sz w:val="20"/>
                <w:szCs w:val="20"/>
              </w:rPr>
              <w:t xml:space="preserve">de prevención y mitigación </w:t>
            </w:r>
            <w:r w:rsidR="008823A3" w:rsidRPr="007C724F">
              <w:rPr>
                <w:rFonts w:ascii="Arial" w:hAnsi="Arial" w:cs="Arial"/>
                <w:sz w:val="20"/>
                <w:szCs w:val="20"/>
              </w:rPr>
              <w:t>de</w:t>
            </w:r>
            <w:r w:rsidR="00F26ECA" w:rsidRPr="007C724F">
              <w:rPr>
                <w:rFonts w:ascii="Arial" w:hAnsi="Arial" w:cs="Arial"/>
                <w:sz w:val="20"/>
                <w:szCs w:val="20"/>
              </w:rPr>
              <w:t xml:space="preserve"> riesgos. Así mismo</w:t>
            </w:r>
            <w:r w:rsidR="00656D8A" w:rsidRPr="007C724F">
              <w:rPr>
                <w:rFonts w:ascii="Arial" w:hAnsi="Arial" w:cs="Arial"/>
                <w:sz w:val="20"/>
                <w:szCs w:val="20"/>
              </w:rPr>
              <w:t xml:space="preserve">, se </w:t>
            </w:r>
            <w:r w:rsidR="00F26ECA" w:rsidRPr="007C724F">
              <w:rPr>
                <w:rFonts w:ascii="Arial" w:hAnsi="Arial" w:cs="Arial"/>
                <w:sz w:val="20"/>
                <w:szCs w:val="20"/>
              </w:rPr>
              <w:t>pretende concientizar e informar más a detalle la importancia de realizar oportunamente los trámites en materia de Protección Civil; como consecuencia aumentar la mejora de la recaudació</w:t>
            </w:r>
            <w:r w:rsidR="007C724F" w:rsidRPr="007C724F">
              <w:rPr>
                <w:rFonts w:ascii="Arial" w:hAnsi="Arial" w:cs="Arial"/>
                <w:sz w:val="20"/>
                <w:szCs w:val="20"/>
              </w:rPr>
              <w:t>n tributaria municipal.</w:t>
            </w:r>
            <w:r w:rsidR="00656D8A" w:rsidRPr="007C72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2F87125" w14:textId="77777777" w:rsidR="009102BF" w:rsidRDefault="009102BF" w:rsidP="009102BF">
      <w:pPr>
        <w:rPr>
          <w:rFonts w:ascii="Arial" w:hAnsi="Arial" w:cs="Arial"/>
          <w:sz w:val="36"/>
          <w:szCs w:val="36"/>
        </w:rPr>
      </w:pPr>
    </w:p>
    <w:p w14:paraId="00196FE3" w14:textId="77777777" w:rsidR="007F5AD1" w:rsidRDefault="007F5AD1" w:rsidP="00AC029A">
      <w:pPr>
        <w:ind w:firstLine="708"/>
        <w:rPr>
          <w:rFonts w:ascii="Arial" w:hAnsi="Arial" w:cs="Arial"/>
          <w:sz w:val="36"/>
          <w:szCs w:val="36"/>
        </w:rPr>
      </w:pPr>
    </w:p>
    <w:sectPr w:rsidR="007F5AD1" w:rsidSect="00091010">
      <w:footerReference w:type="default" r:id="rId8"/>
      <w:type w:val="continuous"/>
      <w:pgSz w:w="12240" w:h="15840"/>
      <w:pgMar w:top="19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15254" w14:textId="77777777" w:rsidR="006E1042" w:rsidRDefault="006E1042" w:rsidP="00826AB6">
      <w:pPr>
        <w:spacing w:after="0" w:line="240" w:lineRule="auto"/>
      </w:pPr>
      <w:r>
        <w:separator/>
      </w:r>
    </w:p>
  </w:endnote>
  <w:endnote w:type="continuationSeparator" w:id="0">
    <w:p w14:paraId="764E6699" w14:textId="77777777" w:rsidR="006E1042" w:rsidRDefault="006E1042" w:rsidP="0082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9AEE2" w14:textId="77777777" w:rsidR="00067889" w:rsidRDefault="00067889">
    <w:pPr>
      <w:pStyle w:val="Piedepgina"/>
      <w:jc w:val="right"/>
    </w:pPr>
  </w:p>
  <w:p w14:paraId="2316FF1A" w14:textId="77777777" w:rsidR="00067889" w:rsidRDefault="000678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0F571" w14:textId="77777777" w:rsidR="006E1042" w:rsidRDefault="006E1042" w:rsidP="00826AB6">
      <w:pPr>
        <w:spacing w:after="0" w:line="240" w:lineRule="auto"/>
      </w:pPr>
      <w:r>
        <w:separator/>
      </w:r>
    </w:p>
  </w:footnote>
  <w:footnote w:type="continuationSeparator" w:id="0">
    <w:p w14:paraId="536277E0" w14:textId="77777777" w:rsidR="006E1042" w:rsidRDefault="006E1042" w:rsidP="0082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34D80"/>
    <w:multiLevelType w:val="hybridMultilevel"/>
    <w:tmpl w:val="F7FAC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57"/>
    <w:rsid w:val="00006712"/>
    <w:rsid w:val="00007643"/>
    <w:rsid w:val="00014168"/>
    <w:rsid w:val="00014D07"/>
    <w:rsid w:val="000162EA"/>
    <w:rsid w:val="0001785F"/>
    <w:rsid w:val="00027509"/>
    <w:rsid w:val="00040AA9"/>
    <w:rsid w:val="00046624"/>
    <w:rsid w:val="00050019"/>
    <w:rsid w:val="00062F03"/>
    <w:rsid w:val="00067889"/>
    <w:rsid w:val="000723E0"/>
    <w:rsid w:val="000742BB"/>
    <w:rsid w:val="000752D7"/>
    <w:rsid w:val="00081F05"/>
    <w:rsid w:val="00085038"/>
    <w:rsid w:val="00091010"/>
    <w:rsid w:val="00091C4E"/>
    <w:rsid w:val="000A084B"/>
    <w:rsid w:val="000A3FCE"/>
    <w:rsid w:val="000B727B"/>
    <w:rsid w:val="000D4D94"/>
    <w:rsid w:val="000E3B32"/>
    <w:rsid w:val="000E6F98"/>
    <w:rsid w:val="0011204A"/>
    <w:rsid w:val="00116544"/>
    <w:rsid w:val="00116764"/>
    <w:rsid w:val="001229B5"/>
    <w:rsid w:val="001532D0"/>
    <w:rsid w:val="001A0A77"/>
    <w:rsid w:val="001A154F"/>
    <w:rsid w:val="001A1DDA"/>
    <w:rsid w:val="001A24A9"/>
    <w:rsid w:val="001C737B"/>
    <w:rsid w:val="001E0130"/>
    <w:rsid w:val="001E0690"/>
    <w:rsid w:val="001E1117"/>
    <w:rsid w:val="001E68D5"/>
    <w:rsid w:val="001E6A73"/>
    <w:rsid w:val="00200263"/>
    <w:rsid w:val="00200981"/>
    <w:rsid w:val="00216808"/>
    <w:rsid w:val="002648F9"/>
    <w:rsid w:val="002A285B"/>
    <w:rsid w:val="002B2D7A"/>
    <w:rsid w:val="002B4B62"/>
    <w:rsid w:val="002C09FF"/>
    <w:rsid w:val="002C5DE5"/>
    <w:rsid w:val="002C6FC4"/>
    <w:rsid w:val="002D0A9A"/>
    <w:rsid w:val="002D4626"/>
    <w:rsid w:val="002E41E1"/>
    <w:rsid w:val="002E4AA6"/>
    <w:rsid w:val="003013A9"/>
    <w:rsid w:val="003118BE"/>
    <w:rsid w:val="0033577E"/>
    <w:rsid w:val="00346990"/>
    <w:rsid w:val="00361E23"/>
    <w:rsid w:val="003638E7"/>
    <w:rsid w:val="0037179E"/>
    <w:rsid w:val="0038694F"/>
    <w:rsid w:val="00387D1D"/>
    <w:rsid w:val="00391854"/>
    <w:rsid w:val="003B636D"/>
    <w:rsid w:val="003E6D50"/>
    <w:rsid w:val="003E7C71"/>
    <w:rsid w:val="003F68C8"/>
    <w:rsid w:val="00402299"/>
    <w:rsid w:val="00411570"/>
    <w:rsid w:val="00416BAD"/>
    <w:rsid w:val="00417625"/>
    <w:rsid w:val="00423B5B"/>
    <w:rsid w:val="00424EFA"/>
    <w:rsid w:val="00426E3D"/>
    <w:rsid w:val="00442E3D"/>
    <w:rsid w:val="00453510"/>
    <w:rsid w:val="00456736"/>
    <w:rsid w:val="004907B0"/>
    <w:rsid w:val="00497B19"/>
    <w:rsid w:val="004A774B"/>
    <w:rsid w:val="004B02BD"/>
    <w:rsid w:val="004B711E"/>
    <w:rsid w:val="004C2494"/>
    <w:rsid w:val="004C583F"/>
    <w:rsid w:val="004D2AAA"/>
    <w:rsid w:val="004E4291"/>
    <w:rsid w:val="004E6712"/>
    <w:rsid w:val="005026D6"/>
    <w:rsid w:val="0051519F"/>
    <w:rsid w:val="00515B93"/>
    <w:rsid w:val="00521233"/>
    <w:rsid w:val="00526B18"/>
    <w:rsid w:val="00560B42"/>
    <w:rsid w:val="00561FE7"/>
    <w:rsid w:val="00563833"/>
    <w:rsid w:val="00564B3E"/>
    <w:rsid w:val="0056593E"/>
    <w:rsid w:val="00574EAE"/>
    <w:rsid w:val="0058689E"/>
    <w:rsid w:val="00593CF1"/>
    <w:rsid w:val="005A0D87"/>
    <w:rsid w:val="005A288A"/>
    <w:rsid w:val="005A2A6E"/>
    <w:rsid w:val="005A6F17"/>
    <w:rsid w:val="005B45CC"/>
    <w:rsid w:val="005B69F4"/>
    <w:rsid w:val="005C38A7"/>
    <w:rsid w:val="005C6579"/>
    <w:rsid w:val="005C6A30"/>
    <w:rsid w:val="005D06CA"/>
    <w:rsid w:val="005E1FAC"/>
    <w:rsid w:val="005E75BF"/>
    <w:rsid w:val="005F097A"/>
    <w:rsid w:val="005F2A04"/>
    <w:rsid w:val="005F5BCA"/>
    <w:rsid w:val="005F6EF9"/>
    <w:rsid w:val="00606564"/>
    <w:rsid w:val="00606F44"/>
    <w:rsid w:val="006230AA"/>
    <w:rsid w:val="00625C9D"/>
    <w:rsid w:val="00632D93"/>
    <w:rsid w:val="00644501"/>
    <w:rsid w:val="0065023F"/>
    <w:rsid w:val="00654FF5"/>
    <w:rsid w:val="00656D8A"/>
    <w:rsid w:val="00661D81"/>
    <w:rsid w:val="00667449"/>
    <w:rsid w:val="006A1695"/>
    <w:rsid w:val="006A20B5"/>
    <w:rsid w:val="006B0A3F"/>
    <w:rsid w:val="006B4D98"/>
    <w:rsid w:val="006B552D"/>
    <w:rsid w:val="006E1042"/>
    <w:rsid w:val="006E4E24"/>
    <w:rsid w:val="0070120F"/>
    <w:rsid w:val="007059F2"/>
    <w:rsid w:val="007259BD"/>
    <w:rsid w:val="00747492"/>
    <w:rsid w:val="00752AEB"/>
    <w:rsid w:val="00753C27"/>
    <w:rsid w:val="00761333"/>
    <w:rsid w:val="00764BBE"/>
    <w:rsid w:val="007721AB"/>
    <w:rsid w:val="007759F0"/>
    <w:rsid w:val="00776CB4"/>
    <w:rsid w:val="00793203"/>
    <w:rsid w:val="00794965"/>
    <w:rsid w:val="007B2304"/>
    <w:rsid w:val="007B5242"/>
    <w:rsid w:val="007C157D"/>
    <w:rsid w:val="007C33D7"/>
    <w:rsid w:val="007C724F"/>
    <w:rsid w:val="007D0E96"/>
    <w:rsid w:val="007D653E"/>
    <w:rsid w:val="007D70C5"/>
    <w:rsid w:val="007E654F"/>
    <w:rsid w:val="007F5AD1"/>
    <w:rsid w:val="00826AB6"/>
    <w:rsid w:val="00831FE1"/>
    <w:rsid w:val="00854A97"/>
    <w:rsid w:val="008706F6"/>
    <w:rsid w:val="008729C4"/>
    <w:rsid w:val="00875410"/>
    <w:rsid w:val="00876399"/>
    <w:rsid w:val="008764A0"/>
    <w:rsid w:val="008823A3"/>
    <w:rsid w:val="008825E5"/>
    <w:rsid w:val="008A017D"/>
    <w:rsid w:val="008A22E2"/>
    <w:rsid w:val="008A304D"/>
    <w:rsid w:val="008A3DFC"/>
    <w:rsid w:val="008B4DB4"/>
    <w:rsid w:val="008B5707"/>
    <w:rsid w:val="008C3396"/>
    <w:rsid w:val="008C5929"/>
    <w:rsid w:val="008F5D3C"/>
    <w:rsid w:val="00901BE9"/>
    <w:rsid w:val="00905288"/>
    <w:rsid w:val="009102BF"/>
    <w:rsid w:val="00917DD5"/>
    <w:rsid w:val="00926F6A"/>
    <w:rsid w:val="0094497C"/>
    <w:rsid w:val="009524E4"/>
    <w:rsid w:val="0095630F"/>
    <w:rsid w:val="00962FC4"/>
    <w:rsid w:val="00963CD6"/>
    <w:rsid w:val="009972AE"/>
    <w:rsid w:val="009A09BB"/>
    <w:rsid w:val="009A2D8C"/>
    <w:rsid w:val="009A6A68"/>
    <w:rsid w:val="009B7327"/>
    <w:rsid w:val="009C2B7D"/>
    <w:rsid w:val="009E0078"/>
    <w:rsid w:val="009E450A"/>
    <w:rsid w:val="009E5039"/>
    <w:rsid w:val="009F127A"/>
    <w:rsid w:val="009F158F"/>
    <w:rsid w:val="00A10784"/>
    <w:rsid w:val="00A128B9"/>
    <w:rsid w:val="00A26D71"/>
    <w:rsid w:val="00A41EA4"/>
    <w:rsid w:val="00A46674"/>
    <w:rsid w:val="00A47819"/>
    <w:rsid w:val="00A81978"/>
    <w:rsid w:val="00A85525"/>
    <w:rsid w:val="00A85EFE"/>
    <w:rsid w:val="00A97D8A"/>
    <w:rsid w:val="00AA4176"/>
    <w:rsid w:val="00AB3A7E"/>
    <w:rsid w:val="00AB7FCA"/>
    <w:rsid w:val="00AC029A"/>
    <w:rsid w:val="00AD7C11"/>
    <w:rsid w:val="00AF7C22"/>
    <w:rsid w:val="00B07B15"/>
    <w:rsid w:val="00B16574"/>
    <w:rsid w:val="00B377E1"/>
    <w:rsid w:val="00B52F1C"/>
    <w:rsid w:val="00B5305E"/>
    <w:rsid w:val="00B674E0"/>
    <w:rsid w:val="00B757ED"/>
    <w:rsid w:val="00B8347E"/>
    <w:rsid w:val="00B85611"/>
    <w:rsid w:val="00B92645"/>
    <w:rsid w:val="00B941B4"/>
    <w:rsid w:val="00B9447F"/>
    <w:rsid w:val="00BA57ED"/>
    <w:rsid w:val="00BA79A5"/>
    <w:rsid w:val="00BB5357"/>
    <w:rsid w:val="00BC196A"/>
    <w:rsid w:val="00BC228F"/>
    <w:rsid w:val="00BD0411"/>
    <w:rsid w:val="00BD188E"/>
    <w:rsid w:val="00BE1952"/>
    <w:rsid w:val="00BE2F10"/>
    <w:rsid w:val="00BF1089"/>
    <w:rsid w:val="00BF1D8F"/>
    <w:rsid w:val="00BF461D"/>
    <w:rsid w:val="00C00115"/>
    <w:rsid w:val="00C16194"/>
    <w:rsid w:val="00C30B67"/>
    <w:rsid w:val="00C31B79"/>
    <w:rsid w:val="00C44E53"/>
    <w:rsid w:val="00C535DD"/>
    <w:rsid w:val="00C63824"/>
    <w:rsid w:val="00C66FE2"/>
    <w:rsid w:val="00C67597"/>
    <w:rsid w:val="00C67C56"/>
    <w:rsid w:val="00C76139"/>
    <w:rsid w:val="00C830ED"/>
    <w:rsid w:val="00C85F04"/>
    <w:rsid w:val="00CB69B6"/>
    <w:rsid w:val="00CC13FE"/>
    <w:rsid w:val="00CC63FC"/>
    <w:rsid w:val="00CD2020"/>
    <w:rsid w:val="00CE3F11"/>
    <w:rsid w:val="00CE7AEC"/>
    <w:rsid w:val="00CF04B4"/>
    <w:rsid w:val="00CF7413"/>
    <w:rsid w:val="00D11E56"/>
    <w:rsid w:val="00D2319B"/>
    <w:rsid w:val="00D30B89"/>
    <w:rsid w:val="00D42FDE"/>
    <w:rsid w:val="00D56381"/>
    <w:rsid w:val="00D60795"/>
    <w:rsid w:val="00D64BCB"/>
    <w:rsid w:val="00D75FF1"/>
    <w:rsid w:val="00D8178B"/>
    <w:rsid w:val="00D85581"/>
    <w:rsid w:val="00DA0BD4"/>
    <w:rsid w:val="00DA5FAB"/>
    <w:rsid w:val="00DC2F65"/>
    <w:rsid w:val="00DD0DCF"/>
    <w:rsid w:val="00DD433F"/>
    <w:rsid w:val="00DD505F"/>
    <w:rsid w:val="00DE3011"/>
    <w:rsid w:val="00DE613F"/>
    <w:rsid w:val="00DF6F77"/>
    <w:rsid w:val="00E054F3"/>
    <w:rsid w:val="00E06368"/>
    <w:rsid w:val="00E11883"/>
    <w:rsid w:val="00E3289D"/>
    <w:rsid w:val="00E449A4"/>
    <w:rsid w:val="00E52270"/>
    <w:rsid w:val="00E53FE2"/>
    <w:rsid w:val="00E56533"/>
    <w:rsid w:val="00E84DD9"/>
    <w:rsid w:val="00E949FE"/>
    <w:rsid w:val="00E95AA1"/>
    <w:rsid w:val="00EA3E6C"/>
    <w:rsid w:val="00EB7EC1"/>
    <w:rsid w:val="00ED28DF"/>
    <w:rsid w:val="00ED2FFA"/>
    <w:rsid w:val="00EE6F27"/>
    <w:rsid w:val="00EF3768"/>
    <w:rsid w:val="00EF7496"/>
    <w:rsid w:val="00F202B1"/>
    <w:rsid w:val="00F26ECA"/>
    <w:rsid w:val="00F2700C"/>
    <w:rsid w:val="00F3359F"/>
    <w:rsid w:val="00F64F4A"/>
    <w:rsid w:val="00F73A73"/>
    <w:rsid w:val="00F91A40"/>
    <w:rsid w:val="00F950E6"/>
    <w:rsid w:val="00FA0250"/>
    <w:rsid w:val="00FA2049"/>
    <w:rsid w:val="00FB2CD2"/>
    <w:rsid w:val="00FC3493"/>
    <w:rsid w:val="00FC59B2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92EF4"/>
  <w15:docId w15:val="{FB047AB2-ADF8-4CA0-8C3F-87BEE20F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2B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AB6"/>
  </w:style>
  <w:style w:type="paragraph" w:styleId="Piedepgina">
    <w:name w:val="footer"/>
    <w:basedOn w:val="Normal"/>
    <w:link w:val="PiedepginaCar"/>
    <w:uiPriority w:val="99"/>
    <w:unhideWhenUsed/>
    <w:rsid w:val="00826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AB6"/>
  </w:style>
  <w:style w:type="paragraph" w:styleId="Prrafodelista">
    <w:name w:val="List Paragraph"/>
    <w:basedOn w:val="Normal"/>
    <w:uiPriority w:val="34"/>
    <w:qFormat/>
    <w:rsid w:val="007F5AD1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7639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B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C1BA-27E9-4A99-AF67-761BBA5A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1241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Lara</dc:creator>
  <cp:lastModifiedBy>VERO VILLEGAS</cp:lastModifiedBy>
  <cp:revision>4</cp:revision>
  <cp:lastPrinted>2019-09-24T16:31:00Z</cp:lastPrinted>
  <dcterms:created xsi:type="dcterms:W3CDTF">2020-08-19T19:40:00Z</dcterms:created>
  <dcterms:modified xsi:type="dcterms:W3CDTF">2020-08-20T20:20:00Z</dcterms:modified>
</cp:coreProperties>
</file>