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A231" w14:textId="7F82FBB3" w:rsidR="003A6A2A" w:rsidRDefault="003A6A2A">
      <w:hyperlink r:id="rId4" w:history="1">
        <w:r w:rsidRPr="00271841">
          <w:rPr>
            <w:rStyle w:val="Hipervnculo"/>
          </w:rPr>
          <w:t>https://desarrollogtocapital.mx/gaceta/events/sesion-ordinaria-no-25-comision-de-obra-publica/</w:t>
        </w:r>
      </w:hyperlink>
    </w:p>
    <w:p w14:paraId="2173C932" w14:textId="77777777" w:rsidR="003A6A2A" w:rsidRDefault="003A6A2A"/>
    <w:sectPr w:rsidR="003A6A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2A"/>
    <w:rsid w:val="003A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CC9C2"/>
  <w15:chartTrackingRefBased/>
  <w15:docId w15:val="{2633E196-022C-4642-ABEC-EF21E39E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6A2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6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sarrollogtocapital.mx/gaceta/events/sesion-ordinaria-no-25-comision-de-obra-publ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2022-12-09T16:53:00Z</dcterms:created>
  <dcterms:modified xsi:type="dcterms:W3CDTF">2022-12-09T16:54:00Z</dcterms:modified>
</cp:coreProperties>
</file>