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41726" w14:textId="15B81065" w:rsidR="00E506F4" w:rsidRDefault="00E506F4">
      <w:hyperlink r:id="rId4" w:history="1">
        <w:r w:rsidRPr="00271841">
          <w:rPr>
            <w:rStyle w:val="Hipervnculo"/>
          </w:rPr>
          <w:t>https://desarrollogtocapital.mx/gaceta/events/sesion-ordinaria-numero-17-comision-de-gobierno-y-asuntos-legislativos-2/</w:t>
        </w:r>
      </w:hyperlink>
    </w:p>
    <w:p w14:paraId="291CA8AB" w14:textId="77777777" w:rsidR="00E506F4" w:rsidRDefault="00E506F4"/>
    <w:sectPr w:rsidR="00E506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6F4"/>
    <w:rsid w:val="00E5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47621"/>
  <w15:chartTrackingRefBased/>
  <w15:docId w15:val="{C736E096-F2C3-D746-9343-577EB157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506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sarrollogtocapital.mx/gaceta/events/sesion-ordinaria-numero-17-comision-de-gobierno-y-asuntos-legislativos-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2022-12-09T18:14:00Z</dcterms:created>
  <dcterms:modified xsi:type="dcterms:W3CDTF">2022-12-09T18:15:00Z</dcterms:modified>
</cp:coreProperties>
</file>