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1238"/>
        <w:gridCol w:w="1021"/>
        <w:gridCol w:w="2680"/>
      </w:tblGrid>
      <w:tr w:rsidR="009102BF" w14:paraId="3817F0B4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E5B1E1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9DC83F" w14:textId="4C003C88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EE74C8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</w:t>
            </w:r>
            <w:r w:rsidR="00877A40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82E47DE" w14:textId="77777777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EB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662A7B" w14:paraId="2F0E68B2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287D3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39795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6B34B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2D29850" w14:textId="4059B099" w:rsidR="009102BF" w:rsidRDefault="007A7FF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42A1FB0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662A7B" w14:paraId="1748BE4A" w14:textId="77777777" w:rsidTr="009102BF">
        <w:trPr>
          <w:trHeight w:val="420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52A0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956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122D2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C746" w14:textId="30D4008B" w:rsidR="008D634F" w:rsidRDefault="007A7FF6" w:rsidP="008D634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II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9250" w14:textId="771A3FF9" w:rsidR="009102BF" w:rsidRDefault="00DE02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Formas Valoradas</w:t>
            </w:r>
          </w:p>
        </w:tc>
      </w:tr>
      <w:tr w:rsidR="00662A7B" w14:paraId="753FC750" w14:textId="77777777" w:rsidTr="009102BF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CB56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93C2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FA5A6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FD0" w14:textId="44C7A29F" w:rsidR="00877A40" w:rsidRPr="00662A7B" w:rsidRDefault="00877A40" w:rsidP="00877A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02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2048297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0C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4597B76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8630111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392CDA8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8D98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0AF" w14:textId="77777777" w:rsidR="009102BF" w:rsidRPr="00083C79" w:rsidRDefault="008F5D3C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644E8A58" w14:textId="2F32DE4D" w:rsidR="009102BF" w:rsidRPr="00083C79" w:rsidRDefault="008D634F" w:rsidP="00C31B79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Disposiciones Administrativas en Materia de Ingresos para el Municipio de Guanajuato, </w:t>
            </w:r>
            <w:proofErr w:type="spellStart"/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Gto</w:t>
            </w:r>
            <w:proofErr w:type="spellEnd"/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., para el Ejercicio Fiscal 20</w:t>
            </w:r>
            <w:r w:rsidR="008972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0C07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  <w:p w14:paraId="341E4AD4" w14:textId="47644EB2" w:rsidR="008D634F" w:rsidRDefault="008D634F" w:rsidP="00C31B79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Art. </w:t>
            </w:r>
            <w:r w:rsidR="008972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fracción </w:t>
            </w:r>
            <w:r w:rsidR="00E96F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2179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.- Permiso </w:t>
            </w:r>
            <w:r w:rsidR="008972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espectáculo o celebración de festejo público, según el número de asistencia</w:t>
            </w:r>
          </w:p>
          <w:p w14:paraId="6E2BCE90" w14:textId="777CB9E3" w:rsidR="009E0DB0" w:rsidRPr="009E0DB0" w:rsidRDefault="009E0DB0" w:rsidP="009E0DB0">
            <w:pPr>
              <w:pStyle w:val="Prrafodelista"/>
              <w:numPr>
                <w:ilvl w:val="0"/>
                <w:numId w:val="6"/>
              </w:num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1 a 100 personas</w:t>
            </w:r>
          </w:p>
          <w:p w14:paraId="09298055" w14:textId="77777777" w:rsidR="00C31B79" w:rsidRDefault="00C31B79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82D0423" w14:textId="77777777" w:rsidR="009102BF" w:rsidRDefault="009102BF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102BF" w14:paraId="08773F69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67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AE9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C2D99E8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4C8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053C44E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D9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418AB048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0099969F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A8E7D44" w14:textId="2C3E053D" w:rsidR="009102BF" w:rsidRPr="00F757A3" w:rsidRDefault="00F757A3" w:rsidP="00B61FD1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fracción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</w:t>
            </w:r>
            <w:r w:rsidRPr="00083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.- Permiso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espectáculo o celebración de festejo público, según el número de asistencia</w:t>
            </w:r>
            <w:r w:rsidR="009E0D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A2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333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8"/>
            </w:tblGrid>
            <w:tr w:rsidR="00FD32FB" w14:paraId="28A398BF" w14:textId="77777777" w:rsidTr="00B61FD1">
              <w:trPr>
                <w:trHeight w:val="106"/>
              </w:trPr>
              <w:tc>
                <w:tcPr>
                  <w:tcW w:w="5000" w:type="pct"/>
                  <w:noWrap/>
                  <w:vAlign w:val="bottom"/>
                </w:tcPr>
                <w:p w14:paraId="0FBEDFFD" w14:textId="7C97F880" w:rsidR="004C651D" w:rsidRPr="009E15A1" w:rsidRDefault="004C651D" w:rsidP="00F757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MX"/>
                    </w:rPr>
                  </w:pPr>
                </w:p>
              </w:tc>
            </w:tr>
          </w:tbl>
          <w:p w14:paraId="7BDDC0D9" w14:textId="26B9DDFA" w:rsidR="00877A40" w:rsidRPr="00877A40" w:rsidRDefault="00B61FD1" w:rsidP="00B61FD1">
            <w:pPr>
              <w:spacing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establece un incremento del 100% en cada uno de los incisos correspondientes al p</w:t>
            </w:r>
            <w:r w:rsidRPr="00B61FD1">
              <w:rPr>
                <w:rFonts w:ascii="Arial" w:hAnsi="Arial" w:cs="Arial"/>
              </w:rPr>
              <w:t>ermiso para espectáculo o celebración de festejo público</w:t>
            </w:r>
            <w:r>
              <w:rPr>
                <w:rFonts w:ascii="Arial" w:hAnsi="Arial" w:cs="Arial"/>
              </w:rPr>
              <w:t>, partiendo del análisis efectuado sobre la tarifa inicial con menor número de asistentes.</w:t>
            </w:r>
          </w:p>
        </w:tc>
      </w:tr>
      <w:tr w:rsidR="009102BF" w14:paraId="02B6D8B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C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434B720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643" w14:textId="77777777" w:rsidR="009102BF" w:rsidRPr="00781270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19F9EB83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23CCCBE5" w14:textId="438583A1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172CD1">
              <w:rPr>
                <w:rFonts w:ascii="Arial" w:hAnsi="Arial" w:cs="Arial"/>
              </w:rPr>
              <w:t xml:space="preserve"> </w:t>
            </w:r>
            <w:r w:rsidR="00B61FD1">
              <w:rPr>
                <w:rFonts w:ascii="Arial" w:hAnsi="Arial" w:cs="Arial"/>
              </w:rPr>
              <w:t>x</w:t>
            </w:r>
          </w:p>
        </w:tc>
      </w:tr>
      <w:tr w:rsidR="009102BF" w14:paraId="44A8A86A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0474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00AE683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5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D22B94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B75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68C92DB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08ECD4DA" w14:textId="7417A016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172CD1">
              <w:rPr>
                <w:rFonts w:ascii="Arial" w:hAnsi="Arial" w:cs="Arial"/>
              </w:rPr>
              <w:t xml:space="preserve"> </w:t>
            </w:r>
            <w:r w:rsidR="00B61FD1">
              <w:rPr>
                <w:rFonts w:ascii="Arial" w:hAnsi="Arial" w:cs="Arial"/>
              </w:rPr>
              <w:t>x</w:t>
            </w:r>
            <w:bookmarkStart w:id="0" w:name="_GoBack"/>
            <w:bookmarkEnd w:id="0"/>
          </w:p>
        </w:tc>
      </w:tr>
      <w:tr w:rsidR="009102BF" w14:paraId="6E7EC36D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89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8479DD4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3B472F4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1E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E89" w14:textId="19329681" w:rsidR="009102BF" w:rsidRPr="009E15A1" w:rsidRDefault="00A166E2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 xml:space="preserve">Responsable de </w:t>
            </w:r>
            <w:r w:rsidR="00AA0273" w:rsidRPr="009E15A1">
              <w:rPr>
                <w:rFonts w:ascii="Arial" w:hAnsi="Arial" w:cs="Arial"/>
              </w:rPr>
              <w:t>realización de espectáculos, festejos o eventos.</w:t>
            </w:r>
          </w:p>
        </w:tc>
      </w:tr>
      <w:tr w:rsidR="009102BF" w14:paraId="5435AFB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76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83E4" w14:textId="187A5AAA" w:rsidR="009102BF" w:rsidRPr="009E15A1" w:rsidRDefault="00A166E2" w:rsidP="00172E0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Eventos realizados, previa autorización de la Dirección de Fiscalización y Control de Reglamentos, así como regulación</w:t>
            </w:r>
            <w:r w:rsidR="00881DD3" w:rsidRPr="009E15A1">
              <w:rPr>
                <w:rFonts w:ascii="Arial" w:hAnsi="Arial" w:cs="Arial"/>
              </w:rPr>
              <w:t>.</w:t>
            </w:r>
          </w:p>
        </w:tc>
      </w:tr>
      <w:tr w:rsidR="009102BF" w14:paraId="10F23E2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1E3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FB3" w14:textId="6335A448" w:rsidR="009102BF" w:rsidRPr="009E15A1" w:rsidRDefault="00172CD1" w:rsidP="00172E04">
            <w:pPr>
              <w:spacing w:line="240" w:lineRule="auto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 xml:space="preserve">Tarifa por </w:t>
            </w:r>
            <w:r w:rsidR="00881DD3" w:rsidRPr="009E15A1">
              <w:rPr>
                <w:rFonts w:ascii="Arial" w:hAnsi="Arial" w:cs="Arial"/>
              </w:rPr>
              <w:t>número de</w:t>
            </w:r>
            <w:r w:rsidR="00877A40">
              <w:rPr>
                <w:rFonts w:ascii="Arial" w:hAnsi="Arial" w:cs="Arial"/>
              </w:rPr>
              <w:t xml:space="preserve"> </w:t>
            </w:r>
            <w:r w:rsidR="009E0DB0">
              <w:rPr>
                <w:rFonts w:ascii="Arial" w:hAnsi="Arial" w:cs="Arial"/>
              </w:rPr>
              <w:t>1</w:t>
            </w:r>
            <w:r w:rsidR="00877A40">
              <w:rPr>
                <w:rFonts w:ascii="Arial" w:hAnsi="Arial" w:cs="Arial"/>
              </w:rPr>
              <w:t xml:space="preserve"> a 100</w:t>
            </w:r>
            <w:r w:rsidR="00881DD3" w:rsidRPr="009E15A1">
              <w:rPr>
                <w:rFonts w:ascii="Arial" w:hAnsi="Arial" w:cs="Arial"/>
              </w:rPr>
              <w:t xml:space="preserve"> </w:t>
            </w:r>
            <w:r w:rsidR="009E0DB0">
              <w:rPr>
                <w:rFonts w:ascii="Arial" w:hAnsi="Arial" w:cs="Arial"/>
              </w:rPr>
              <w:t>personas</w:t>
            </w:r>
            <w:r w:rsidRPr="009E15A1">
              <w:rPr>
                <w:rFonts w:ascii="Arial" w:hAnsi="Arial" w:cs="Arial"/>
              </w:rPr>
              <w:t xml:space="preserve"> </w:t>
            </w:r>
            <w:r w:rsidR="00172E04" w:rsidRPr="009E15A1">
              <w:rPr>
                <w:rFonts w:ascii="Arial" w:hAnsi="Arial" w:cs="Arial"/>
              </w:rPr>
              <w:t xml:space="preserve"> </w:t>
            </w:r>
          </w:p>
        </w:tc>
      </w:tr>
      <w:tr w:rsidR="009102BF" w14:paraId="57899AE7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F97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E15A1" w:rsidRPr="009E15A1" w14:paraId="18A9CF2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3C3A687B" w14:textId="058DB03D" w:rsidR="009102BF" w:rsidRPr="009E15A1" w:rsidRDefault="006D7F7E" w:rsidP="0000764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Actualmente d</w:t>
                  </w:r>
                  <w:r w:rsidR="00881DD3" w:rsidRPr="009E15A1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e $</w:t>
                  </w:r>
                  <w:r w:rsidR="00877A40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 xml:space="preserve">359.00 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7C70223" w14:textId="77777777" w:rsidR="009102BF" w:rsidRPr="009E15A1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E15A1" w:rsidRPr="009E15A1" w14:paraId="1C9D2F40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457E0914" w14:textId="77777777" w:rsidR="009102BF" w:rsidRPr="009E15A1" w:rsidRDefault="009102BF">
                  <w:pPr>
                    <w:rPr>
                      <w:rFonts w:ascii="Arial" w:eastAsia="Times New Roman" w:hAnsi="Arial" w:cs="Arial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F2F174A" w14:textId="77777777" w:rsidR="009102BF" w:rsidRPr="009E15A1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E15A1" w:rsidRPr="009E15A1" w14:paraId="789C3129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52A7B06" w14:textId="77777777" w:rsidR="009102BF" w:rsidRPr="009E15A1" w:rsidRDefault="009102BF">
                  <w:pPr>
                    <w:rPr>
                      <w:rFonts w:ascii="Arial" w:eastAsia="Times New Roman" w:hAnsi="Arial" w:cs="Arial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9BE67AD" w14:textId="77777777" w:rsidR="009102BF" w:rsidRPr="009E15A1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1B16DF84" w14:textId="77777777" w:rsidR="009102BF" w:rsidRPr="009E15A1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4F278B9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627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 de estudio para medir el</w:t>
            </w:r>
          </w:p>
          <w:p w14:paraId="3DB735B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0CD" w14:textId="2E7911D9" w:rsidR="00B31645" w:rsidRPr="009E15A1" w:rsidRDefault="009F56D2" w:rsidP="00D448D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Un i</w:t>
            </w:r>
            <w:r w:rsidR="00683F62" w:rsidRPr="009E15A1">
              <w:rPr>
                <w:rFonts w:ascii="Arial" w:hAnsi="Arial" w:cs="Arial"/>
              </w:rPr>
              <w:t xml:space="preserve">ncremento del </w:t>
            </w:r>
            <w:r w:rsidR="00877A40">
              <w:rPr>
                <w:rFonts w:ascii="Arial" w:hAnsi="Arial" w:cs="Arial"/>
              </w:rPr>
              <w:t>100</w:t>
            </w:r>
            <w:r w:rsidR="002F3075" w:rsidRPr="009E15A1">
              <w:rPr>
                <w:rFonts w:ascii="Arial" w:hAnsi="Arial" w:cs="Arial"/>
              </w:rPr>
              <w:t xml:space="preserve">% </w:t>
            </w:r>
            <w:r w:rsidRPr="009E15A1">
              <w:rPr>
                <w:rFonts w:ascii="Arial" w:hAnsi="Arial" w:cs="Arial"/>
              </w:rPr>
              <w:t xml:space="preserve">representa una recaudación considerable, </w:t>
            </w:r>
            <w:r w:rsidR="00877A40">
              <w:rPr>
                <w:rFonts w:ascii="Arial" w:hAnsi="Arial" w:cs="Arial"/>
              </w:rPr>
              <w:t>teniendo en cuenta</w:t>
            </w:r>
            <w:r w:rsidRPr="009E15A1">
              <w:rPr>
                <w:rFonts w:ascii="Arial" w:hAnsi="Arial" w:cs="Arial"/>
              </w:rPr>
              <w:t xml:space="preserve"> que se trata de eventos </w:t>
            </w:r>
            <w:r w:rsidR="00175433" w:rsidRPr="009E15A1">
              <w:rPr>
                <w:rFonts w:ascii="Arial" w:hAnsi="Arial" w:cs="Arial"/>
              </w:rPr>
              <w:t>qu</w:t>
            </w:r>
            <w:r w:rsidR="00877A40">
              <w:rPr>
                <w:rFonts w:ascii="Arial" w:hAnsi="Arial" w:cs="Arial"/>
              </w:rPr>
              <w:t>e por lo menos</w:t>
            </w:r>
            <w:r w:rsidR="00175433" w:rsidRPr="009E15A1">
              <w:rPr>
                <w:rFonts w:ascii="Arial" w:hAnsi="Arial" w:cs="Arial"/>
              </w:rPr>
              <w:t xml:space="preserve"> se realizan cada fin de semana.</w:t>
            </w:r>
          </w:p>
        </w:tc>
      </w:tr>
      <w:tr w:rsidR="009102BF" w14:paraId="78ECFBAE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194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08CFE5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D3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2C7" w14:textId="213C31F2" w:rsidR="00656D8A" w:rsidRPr="00593EB8" w:rsidRDefault="008524C6" w:rsidP="00D448DF">
            <w:pPr>
              <w:spacing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BB40B4">
              <w:rPr>
                <w:rFonts w:ascii="Arial" w:hAnsi="Arial" w:cs="Arial"/>
              </w:rPr>
              <w:t xml:space="preserve">Generalmente los interesados en realizar eventos cuentan con la capacidad para solventar este tipo de costos, </w:t>
            </w:r>
            <w:r w:rsidR="00877A40">
              <w:rPr>
                <w:rFonts w:ascii="Arial" w:hAnsi="Arial" w:cs="Arial"/>
              </w:rPr>
              <w:t>o al menos</w:t>
            </w:r>
            <w:r w:rsidRPr="00BB40B4">
              <w:rPr>
                <w:rFonts w:ascii="Arial" w:hAnsi="Arial" w:cs="Arial"/>
              </w:rPr>
              <w:t xml:space="preserve"> tienen en consideración que deben cubrir los trámites </w:t>
            </w:r>
            <w:r w:rsidR="00877A40">
              <w:rPr>
                <w:rFonts w:ascii="Arial" w:hAnsi="Arial" w:cs="Arial"/>
              </w:rPr>
              <w:t>administrativos y</w:t>
            </w:r>
            <w:r w:rsidRPr="00BB40B4">
              <w:rPr>
                <w:rFonts w:ascii="Arial" w:hAnsi="Arial" w:cs="Arial"/>
              </w:rPr>
              <w:t xml:space="preserve"> de permisos.</w:t>
            </w:r>
          </w:p>
        </w:tc>
      </w:tr>
      <w:tr w:rsidR="009102BF" w14:paraId="646C266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AE7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78D" w14:textId="0B3683BF" w:rsidR="009102BF" w:rsidRPr="00593EB8" w:rsidRDefault="00E62795" w:rsidP="00F950E6">
            <w:pPr>
              <w:spacing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B061A5">
              <w:rPr>
                <w:rFonts w:ascii="Arial" w:hAnsi="Arial" w:cs="Arial"/>
              </w:rPr>
              <w:t>En su mayoría la</w:t>
            </w:r>
            <w:r w:rsidR="00B50357" w:rsidRPr="00B061A5">
              <w:rPr>
                <w:rFonts w:ascii="Arial" w:hAnsi="Arial" w:cs="Arial"/>
              </w:rPr>
              <w:t>s celebraciones de espectáculos</w:t>
            </w:r>
            <w:r w:rsidR="002A6417">
              <w:rPr>
                <w:rFonts w:ascii="Arial" w:hAnsi="Arial" w:cs="Arial"/>
              </w:rPr>
              <w:t xml:space="preserve"> o celebraciones</w:t>
            </w:r>
            <w:r w:rsidR="00B50357" w:rsidRPr="00B061A5">
              <w:rPr>
                <w:rFonts w:ascii="Arial" w:hAnsi="Arial" w:cs="Arial"/>
              </w:rPr>
              <w:t xml:space="preserve"> implican no sólo la asistencia de personas, sino el ingreso generado al organizador</w:t>
            </w:r>
            <w:r w:rsidRPr="00B061A5">
              <w:rPr>
                <w:rFonts w:ascii="Arial" w:hAnsi="Arial" w:cs="Arial"/>
              </w:rPr>
              <w:t xml:space="preserve"> durante la realización del evento</w:t>
            </w:r>
            <w:r w:rsidR="002A6417">
              <w:rPr>
                <w:rFonts w:ascii="Arial" w:hAnsi="Arial" w:cs="Arial"/>
              </w:rPr>
              <w:t>, aunque no fuera así, en ambos casos</w:t>
            </w:r>
            <w:r w:rsidR="00B061A5" w:rsidRPr="00B061A5">
              <w:rPr>
                <w:rFonts w:ascii="Arial" w:hAnsi="Arial" w:cs="Arial"/>
              </w:rPr>
              <w:t xml:space="preserve"> representa trabajo operativo </w:t>
            </w:r>
            <w:r w:rsidR="002A6417">
              <w:rPr>
                <w:rFonts w:ascii="Arial" w:hAnsi="Arial" w:cs="Arial"/>
              </w:rPr>
              <w:t>de varias dependencias</w:t>
            </w:r>
            <w:r w:rsidR="00405F32">
              <w:rPr>
                <w:rFonts w:ascii="Arial" w:hAnsi="Arial" w:cs="Arial"/>
              </w:rPr>
              <w:t xml:space="preserve"> y principalmente de esta área</w:t>
            </w:r>
            <w:r w:rsidR="002A6417">
              <w:rPr>
                <w:rFonts w:ascii="Arial" w:hAnsi="Arial" w:cs="Arial"/>
              </w:rPr>
              <w:t xml:space="preserve"> </w:t>
            </w:r>
            <w:r w:rsidR="00B061A5" w:rsidRPr="00B061A5">
              <w:rPr>
                <w:rFonts w:ascii="Arial" w:hAnsi="Arial" w:cs="Arial"/>
              </w:rPr>
              <w:t>en la inspección de los eventos</w:t>
            </w:r>
            <w:r w:rsidR="002A6417">
              <w:rPr>
                <w:rFonts w:ascii="Arial" w:hAnsi="Arial" w:cs="Arial"/>
              </w:rPr>
              <w:t>.</w:t>
            </w:r>
          </w:p>
        </w:tc>
      </w:tr>
      <w:tr w:rsidR="009102BF" w14:paraId="269A249E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94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28E1DB9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B951B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24CB15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7D8" w14:textId="27E797E4" w:rsidR="00FD11EA" w:rsidRPr="00593EB8" w:rsidRDefault="009C0957" w:rsidP="005A2A6E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6845CA">
              <w:rPr>
                <w:rFonts w:ascii="Arial" w:hAnsi="Arial" w:cs="Arial"/>
              </w:rPr>
              <w:t>El impacto al contribuyente es mínimo,</w:t>
            </w:r>
            <w:r w:rsidR="00FD11EA" w:rsidRPr="006845CA">
              <w:rPr>
                <w:rFonts w:ascii="Arial" w:hAnsi="Arial" w:cs="Arial"/>
              </w:rPr>
              <w:t xml:space="preserve"> se busca </w:t>
            </w:r>
            <w:r w:rsidR="008730CD" w:rsidRPr="006845CA">
              <w:rPr>
                <w:rFonts w:ascii="Arial" w:hAnsi="Arial" w:cs="Arial"/>
              </w:rPr>
              <w:t xml:space="preserve">la regulación de los permisos, trámites realizados y la </w:t>
            </w:r>
            <w:r w:rsidR="006845CA">
              <w:rPr>
                <w:rFonts w:ascii="Arial" w:hAnsi="Arial" w:cs="Arial"/>
              </w:rPr>
              <w:t>afluencia de asistentes a eventos.</w:t>
            </w:r>
          </w:p>
        </w:tc>
      </w:tr>
      <w:tr w:rsidR="009102BF" w14:paraId="0E3EB2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918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95A5" w14:textId="01FABF5D" w:rsidR="009102BF" w:rsidRPr="00593EB8" w:rsidRDefault="009C0957" w:rsidP="0095630F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C75E7">
              <w:rPr>
                <w:rFonts w:ascii="Arial" w:hAnsi="Arial" w:cs="Arial"/>
              </w:rPr>
              <w:t>Se inform</w:t>
            </w:r>
            <w:r w:rsidR="00FD11EA" w:rsidRPr="00BC75E7">
              <w:rPr>
                <w:rFonts w:ascii="Arial" w:hAnsi="Arial" w:cs="Arial"/>
              </w:rPr>
              <w:t>a</w:t>
            </w:r>
            <w:r w:rsidRPr="00BC75E7">
              <w:rPr>
                <w:rFonts w:ascii="Arial" w:hAnsi="Arial" w:cs="Arial"/>
              </w:rPr>
              <w:t xml:space="preserve"> el nuevo costo al contribuyente, revisando cumpla con los requisitos, en coordinación con las áreas que intervienen en el proceso para verificar la recaudación.</w:t>
            </w:r>
          </w:p>
        </w:tc>
      </w:tr>
      <w:tr w:rsidR="009102BF" w14:paraId="6B6832B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87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698B0D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B12" w14:textId="77777777" w:rsidR="009102BF" w:rsidRPr="00724247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24247">
              <w:rPr>
                <w:rFonts w:ascii="Arial" w:hAnsi="Arial" w:cs="Arial"/>
              </w:rPr>
              <w:t xml:space="preserve">La recaudación forma parte del gasto corriente con que cuenta el municipio para la prestación de los servicios públicos a su cargo. </w:t>
            </w:r>
          </w:p>
          <w:p w14:paraId="0EB25B60" w14:textId="77777777" w:rsidR="009102BF" w:rsidRPr="00593EB8" w:rsidRDefault="009102BF">
            <w:pPr>
              <w:spacing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102BF" w14:paraId="790A8E4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85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B48F31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A20A7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B77C2DC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6AC" w14:textId="77777777" w:rsidR="009102BF" w:rsidRPr="005D5F42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 w:rsidRPr="005D5F42">
              <w:rPr>
                <w:rFonts w:ascii="Arial" w:hAnsi="Arial" w:cs="Arial"/>
                <w:b/>
              </w:rPr>
              <w:t>Antecedentes:</w:t>
            </w:r>
          </w:p>
          <w:p w14:paraId="23A34556" w14:textId="49A7B43B" w:rsidR="007F07F5" w:rsidRDefault="007F07F5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Art. 248 fracción VI de la Ley de Hacienda para los Municipios. </w:t>
            </w:r>
          </w:p>
          <w:p w14:paraId="7B876986" w14:textId="0DE2AC26" w:rsidR="00552FA0" w:rsidRPr="005D5F42" w:rsidRDefault="00552FA0">
            <w:pPr>
              <w:spacing w:line="240" w:lineRule="auto"/>
              <w:rPr>
                <w:rFonts w:ascii="Arial" w:hAnsi="Arial" w:cs="Arial"/>
                <w:bCs/>
              </w:rPr>
            </w:pPr>
            <w:r w:rsidRPr="005D5F42">
              <w:rPr>
                <w:rFonts w:ascii="Arial" w:hAnsi="Arial" w:cs="Arial"/>
                <w:bCs/>
              </w:rPr>
              <w:t xml:space="preserve">Art. </w:t>
            </w:r>
            <w:r w:rsidR="005D5F42" w:rsidRPr="005D5F42">
              <w:rPr>
                <w:rFonts w:ascii="Arial" w:hAnsi="Arial" w:cs="Arial"/>
                <w:bCs/>
              </w:rPr>
              <w:t>9</w:t>
            </w:r>
            <w:r w:rsidRPr="005D5F42">
              <w:rPr>
                <w:rFonts w:ascii="Arial" w:hAnsi="Arial" w:cs="Arial"/>
                <w:bCs/>
              </w:rPr>
              <w:t xml:space="preserve"> fracción</w:t>
            </w:r>
            <w:r w:rsidR="005D5F42" w:rsidRPr="005D5F42">
              <w:rPr>
                <w:rFonts w:ascii="Arial" w:hAnsi="Arial" w:cs="Arial"/>
                <w:bCs/>
              </w:rPr>
              <w:t xml:space="preserve"> </w:t>
            </w:r>
            <w:r w:rsidR="00FD11EA" w:rsidRPr="005D5F42">
              <w:rPr>
                <w:rFonts w:ascii="Arial" w:hAnsi="Arial" w:cs="Arial"/>
                <w:bCs/>
              </w:rPr>
              <w:t>I</w:t>
            </w:r>
            <w:r w:rsidR="003C0386" w:rsidRPr="005D5F42">
              <w:rPr>
                <w:rFonts w:ascii="Arial" w:hAnsi="Arial" w:cs="Arial"/>
                <w:bCs/>
              </w:rPr>
              <w:t>I</w:t>
            </w:r>
            <w:r w:rsidR="00405F32">
              <w:rPr>
                <w:rFonts w:ascii="Arial" w:hAnsi="Arial" w:cs="Arial"/>
                <w:bCs/>
              </w:rPr>
              <w:t xml:space="preserve"> inciso a)</w:t>
            </w:r>
            <w:r w:rsidRPr="005D5F42">
              <w:rPr>
                <w:rFonts w:ascii="Arial" w:hAnsi="Arial" w:cs="Arial"/>
                <w:bCs/>
              </w:rPr>
              <w:t xml:space="preserve"> de las Disposiciones Administrativas</w:t>
            </w:r>
          </w:p>
          <w:p w14:paraId="14E8401B" w14:textId="77777777" w:rsidR="009102BF" w:rsidRPr="00593EB8" w:rsidRDefault="009102BF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  <w:p w14:paraId="2CEFFA31" w14:textId="77777777" w:rsidR="009102BF" w:rsidRPr="00593EB8" w:rsidRDefault="009102BF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  <w:p w14:paraId="0D5DEDFD" w14:textId="77777777" w:rsidR="009102BF" w:rsidRPr="005D5F42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 w:rsidRPr="005D5F42">
              <w:rPr>
                <w:rFonts w:ascii="Arial" w:hAnsi="Arial" w:cs="Arial"/>
                <w:b/>
              </w:rPr>
              <w:t>Consideraciones que soportan el cambio:</w:t>
            </w:r>
          </w:p>
          <w:p w14:paraId="677FC1A0" w14:textId="65DF7617" w:rsidR="001C737B" w:rsidRPr="005D5F42" w:rsidRDefault="009102BF">
            <w:pPr>
              <w:spacing w:line="240" w:lineRule="auto"/>
              <w:rPr>
                <w:rFonts w:ascii="Arial" w:hAnsi="Arial" w:cs="Arial"/>
              </w:rPr>
            </w:pPr>
            <w:r w:rsidRPr="005D5F42">
              <w:rPr>
                <w:rFonts w:ascii="Arial" w:hAnsi="Arial" w:cs="Arial"/>
              </w:rPr>
              <w:t xml:space="preserve">Se realizó un análisis </w:t>
            </w:r>
            <w:r w:rsidR="001C737B" w:rsidRPr="005D5F42">
              <w:rPr>
                <w:rFonts w:ascii="Arial" w:hAnsi="Arial" w:cs="Arial"/>
              </w:rPr>
              <w:t xml:space="preserve">de la variación del impuesto, encontrando que no se impacta al contribuyente y si se </w:t>
            </w:r>
            <w:r w:rsidR="0095630F" w:rsidRPr="005D5F42">
              <w:rPr>
                <w:rFonts w:ascii="Arial" w:hAnsi="Arial" w:cs="Arial"/>
              </w:rPr>
              <w:t>aumenta</w:t>
            </w:r>
            <w:r w:rsidR="001C737B" w:rsidRPr="005D5F42">
              <w:rPr>
                <w:rFonts w:ascii="Arial" w:hAnsi="Arial" w:cs="Arial"/>
              </w:rPr>
              <w:t xml:space="preserve"> la recaudación</w:t>
            </w:r>
            <w:r w:rsidR="008730CD" w:rsidRPr="005D5F42">
              <w:rPr>
                <w:rFonts w:ascii="Arial" w:hAnsi="Arial" w:cs="Arial"/>
              </w:rPr>
              <w:t>, considerando también los costos que genera entre documental y trabajo operativo</w:t>
            </w:r>
            <w:r w:rsidR="001C737B" w:rsidRPr="005D5F42">
              <w:rPr>
                <w:rFonts w:ascii="Arial" w:hAnsi="Arial" w:cs="Arial"/>
              </w:rPr>
              <w:t>.</w:t>
            </w:r>
            <w:r w:rsidR="00764DAF">
              <w:rPr>
                <w:rFonts w:ascii="Arial" w:hAnsi="Arial" w:cs="Arial"/>
              </w:rPr>
              <w:t xml:space="preserve"> Los </w:t>
            </w:r>
            <w:r w:rsidR="00764DAF">
              <w:rPr>
                <w:rFonts w:ascii="Arial" w:hAnsi="Arial" w:cs="Arial"/>
              </w:rPr>
              <w:lastRenderedPageBreak/>
              <w:t xml:space="preserve">eventos con una asistencia de 0 a 100 personas, son los más solicitados a conveniencia del contribuyente, aun cuando se ha detectado que el cupo puede o es superior. </w:t>
            </w:r>
          </w:p>
          <w:p w14:paraId="2B33F23D" w14:textId="77777777" w:rsidR="009102BF" w:rsidRPr="00593EB8" w:rsidRDefault="009102BF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  <w:p w14:paraId="02E0E335" w14:textId="77777777" w:rsidR="009102BF" w:rsidRPr="005D5F42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 w:rsidRPr="005D5F42">
              <w:rPr>
                <w:rFonts w:ascii="Arial" w:hAnsi="Arial" w:cs="Arial"/>
                <w:b/>
              </w:rPr>
              <w:t>Propuesta de modificación:</w:t>
            </w:r>
          </w:p>
          <w:p w14:paraId="087921F4" w14:textId="2C6BCC3F" w:rsidR="00392DE4" w:rsidRPr="005D5F42" w:rsidRDefault="00FD11EA">
            <w:pPr>
              <w:spacing w:line="240" w:lineRule="auto"/>
              <w:rPr>
                <w:rFonts w:ascii="Arial" w:hAnsi="Arial" w:cs="Arial"/>
                <w:bCs/>
              </w:rPr>
            </w:pPr>
            <w:r w:rsidRPr="005D5F42">
              <w:rPr>
                <w:rFonts w:ascii="Arial" w:hAnsi="Arial" w:cs="Arial"/>
                <w:bCs/>
              </w:rPr>
              <w:t>El costo</w:t>
            </w:r>
            <w:r w:rsidR="00CA7BBC" w:rsidRPr="005D5F42">
              <w:rPr>
                <w:rFonts w:ascii="Arial" w:hAnsi="Arial" w:cs="Arial"/>
                <w:bCs/>
              </w:rPr>
              <w:t xml:space="preserve"> responde a la actividad y población atendida por evento, </w:t>
            </w:r>
            <w:r w:rsidR="00A1339F" w:rsidRPr="005D5F42">
              <w:rPr>
                <w:rFonts w:ascii="Arial" w:hAnsi="Arial" w:cs="Arial"/>
                <w:bCs/>
              </w:rPr>
              <w:t>así como al trabajo que representa, desde que llega a la Dirección y se realizan los trámites administrativos</w:t>
            </w:r>
            <w:r w:rsidR="008730CD" w:rsidRPr="005D5F42">
              <w:rPr>
                <w:rFonts w:ascii="Arial" w:hAnsi="Arial" w:cs="Arial"/>
                <w:bCs/>
              </w:rPr>
              <w:t xml:space="preserve"> correspondientes</w:t>
            </w:r>
            <w:r w:rsidR="00A1339F" w:rsidRPr="005D5F42">
              <w:rPr>
                <w:rFonts w:ascii="Arial" w:hAnsi="Arial" w:cs="Arial"/>
                <w:bCs/>
              </w:rPr>
              <w:t xml:space="preserve"> </w:t>
            </w:r>
            <w:r w:rsidR="008730CD" w:rsidRPr="005D5F42">
              <w:rPr>
                <w:rFonts w:ascii="Arial" w:hAnsi="Arial" w:cs="Arial"/>
                <w:bCs/>
              </w:rPr>
              <w:t xml:space="preserve">teniendo un personal específico para atención de las mismas, </w:t>
            </w:r>
            <w:r w:rsidR="00A1339F" w:rsidRPr="005D5F42">
              <w:rPr>
                <w:rFonts w:ascii="Arial" w:hAnsi="Arial" w:cs="Arial"/>
                <w:bCs/>
              </w:rPr>
              <w:t xml:space="preserve">hasta las actividades de operatividad que significan destinar al menos </w:t>
            </w:r>
            <w:r w:rsidR="00764DAF">
              <w:rPr>
                <w:rFonts w:ascii="Arial" w:hAnsi="Arial" w:cs="Arial"/>
                <w:bCs/>
              </w:rPr>
              <w:t>dos</w:t>
            </w:r>
            <w:r w:rsidR="00A1339F" w:rsidRPr="005D5F42">
              <w:rPr>
                <w:rFonts w:ascii="Arial" w:hAnsi="Arial" w:cs="Arial"/>
                <w:bCs/>
              </w:rPr>
              <w:t xml:space="preserve"> inspector</w:t>
            </w:r>
            <w:r w:rsidR="00764DAF">
              <w:rPr>
                <w:rFonts w:ascii="Arial" w:hAnsi="Arial" w:cs="Arial"/>
                <w:bCs/>
              </w:rPr>
              <w:t>es</w:t>
            </w:r>
            <w:r w:rsidR="00A1339F" w:rsidRPr="005D5F42">
              <w:rPr>
                <w:rFonts w:ascii="Arial" w:hAnsi="Arial" w:cs="Arial"/>
                <w:bCs/>
              </w:rPr>
              <w:t xml:space="preserve"> para </w:t>
            </w:r>
            <w:r w:rsidR="00764DAF">
              <w:rPr>
                <w:rFonts w:ascii="Arial" w:hAnsi="Arial" w:cs="Arial"/>
                <w:bCs/>
              </w:rPr>
              <w:t>revisión</w:t>
            </w:r>
            <w:r w:rsidR="005D5F42" w:rsidRPr="005D5F42">
              <w:rPr>
                <w:rFonts w:ascii="Arial" w:hAnsi="Arial" w:cs="Arial"/>
                <w:bCs/>
              </w:rPr>
              <w:t xml:space="preserve"> de</w:t>
            </w:r>
            <w:r w:rsidR="00764DAF">
              <w:rPr>
                <w:rFonts w:ascii="Arial" w:hAnsi="Arial" w:cs="Arial"/>
                <w:bCs/>
              </w:rPr>
              <w:t>l</w:t>
            </w:r>
            <w:r w:rsidR="005D5F42" w:rsidRPr="005D5F42">
              <w:rPr>
                <w:rFonts w:ascii="Arial" w:hAnsi="Arial" w:cs="Arial"/>
                <w:bCs/>
              </w:rPr>
              <w:t xml:space="preserve"> evento.</w:t>
            </w:r>
          </w:p>
          <w:p w14:paraId="2A183BE0" w14:textId="77777777" w:rsidR="009102BF" w:rsidRPr="00593EB8" w:rsidRDefault="009102BF">
            <w:pPr>
              <w:spacing w:line="240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7EBDCD9D" w14:textId="77777777" w:rsidR="009102BF" w:rsidRPr="005D5F42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 w:rsidRPr="005D5F42">
              <w:rPr>
                <w:rFonts w:ascii="Arial" w:hAnsi="Arial" w:cs="Arial"/>
                <w:b/>
              </w:rPr>
              <w:t>Conclusiones:</w:t>
            </w:r>
          </w:p>
          <w:p w14:paraId="5285FB67" w14:textId="77777777" w:rsidR="009102BF" w:rsidRPr="00593EB8" w:rsidRDefault="00FD11EA" w:rsidP="00FD4DEF">
            <w:pPr>
              <w:spacing w:line="240" w:lineRule="auto"/>
              <w:rPr>
                <w:rFonts w:ascii="Arial" w:hAnsi="Arial" w:cs="Arial"/>
                <w:bCs/>
                <w:color w:val="FF0000"/>
              </w:rPr>
            </w:pPr>
            <w:r w:rsidRPr="005D5F42">
              <w:rPr>
                <w:rFonts w:ascii="Arial" w:hAnsi="Arial" w:cs="Arial"/>
                <w:bCs/>
              </w:rPr>
              <w:t>Al incrementar el costo por trámite autorizado se incrementa la recaudación Municipal</w:t>
            </w:r>
            <w:r w:rsidR="00CA7BBC" w:rsidRPr="005D5F42">
              <w:rPr>
                <w:rFonts w:ascii="Arial" w:hAnsi="Arial" w:cs="Arial"/>
                <w:bCs/>
              </w:rPr>
              <w:t xml:space="preserve"> y se regulan estos eventos.</w:t>
            </w:r>
          </w:p>
        </w:tc>
      </w:tr>
    </w:tbl>
    <w:p w14:paraId="250167A1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41F14E8D" w14:textId="77777777" w:rsidR="007F5AD1" w:rsidRPr="00E9094C" w:rsidRDefault="007F5AD1" w:rsidP="00E60297">
      <w:pPr>
        <w:jc w:val="both"/>
        <w:rPr>
          <w:rFonts w:ascii="Arial" w:hAnsi="Arial" w:cs="Arial"/>
          <w:sz w:val="24"/>
          <w:szCs w:val="24"/>
        </w:rPr>
      </w:pPr>
    </w:p>
    <w:sectPr w:rsidR="007F5AD1" w:rsidRPr="00E9094C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1E96" w14:textId="77777777" w:rsidR="008B140C" w:rsidRDefault="008B140C" w:rsidP="00826AB6">
      <w:pPr>
        <w:spacing w:after="0" w:line="240" w:lineRule="auto"/>
      </w:pPr>
      <w:r>
        <w:separator/>
      </w:r>
    </w:p>
  </w:endnote>
  <w:endnote w:type="continuationSeparator" w:id="0">
    <w:p w14:paraId="1F835E3A" w14:textId="77777777" w:rsidR="008B140C" w:rsidRDefault="008B140C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7E93" w14:textId="77777777" w:rsidR="00067889" w:rsidRDefault="00067889">
    <w:pPr>
      <w:pStyle w:val="Piedepgina"/>
      <w:jc w:val="right"/>
    </w:pPr>
  </w:p>
  <w:p w14:paraId="41FC932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C6E24" w14:textId="77777777" w:rsidR="008B140C" w:rsidRDefault="008B140C" w:rsidP="00826AB6">
      <w:pPr>
        <w:spacing w:after="0" w:line="240" w:lineRule="auto"/>
      </w:pPr>
      <w:r>
        <w:separator/>
      </w:r>
    </w:p>
  </w:footnote>
  <w:footnote w:type="continuationSeparator" w:id="0">
    <w:p w14:paraId="37693FED" w14:textId="77777777" w:rsidR="008B140C" w:rsidRDefault="008B140C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1A5"/>
    <w:multiLevelType w:val="hybridMultilevel"/>
    <w:tmpl w:val="B4407C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5209"/>
    <w:multiLevelType w:val="hybridMultilevel"/>
    <w:tmpl w:val="C85028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3B09"/>
    <w:multiLevelType w:val="hybridMultilevel"/>
    <w:tmpl w:val="8A94D8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A5F8B"/>
    <w:multiLevelType w:val="hybridMultilevel"/>
    <w:tmpl w:val="835AAF16"/>
    <w:lvl w:ilvl="0" w:tplc="DCF068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30728"/>
    <w:multiLevelType w:val="hybridMultilevel"/>
    <w:tmpl w:val="BBDC6C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57"/>
    <w:rsid w:val="00006712"/>
    <w:rsid w:val="00007643"/>
    <w:rsid w:val="0001785F"/>
    <w:rsid w:val="00046624"/>
    <w:rsid w:val="00067889"/>
    <w:rsid w:val="00081F05"/>
    <w:rsid w:val="00083C79"/>
    <w:rsid w:val="00085038"/>
    <w:rsid w:val="00091010"/>
    <w:rsid w:val="00091C4E"/>
    <w:rsid w:val="000A084B"/>
    <w:rsid w:val="000A3FCE"/>
    <w:rsid w:val="000B727B"/>
    <w:rsid w:val="000C07A8"/>
    <w:rsid w:val="000E3B32"/>
    <w:rsid w:val="000E6F98"/>
    <w:rsid w:val="0011204A"/>
    <w:rsid w:val="00116544"/>
    <w:rsid w:val="00116764"/>
    <w:rsid w:val="001351FE"/>
    <w:rsid w:val="001532D0"/>
    <w:rsid w:val="00172CD1"/>
    <w:rsid w:val="00172E04"/>
    <w:rsid w:val="00175433"/>
    <w:rsid w:val="0019207F"/>
    <w:rsid w:val="001A0A77"/>
    <w:rsid w:val="001A1DDA"/>
    <w:rsid w:val="001A24A9"/>
    <w:rsid w:val="001A671E"/>
    <w:rsid w:val="001C6E6B"/>
    <w:rsid w:val="001C737B"/>
    <w:rsid w:val="001E0130"/>
    <w:rsid w:val="001E1117"/>
    <w:rsid w:val="001E6A73"/>
    <w:rsid w:val="001F7960"/>
    <w:rsid w:val="00200981"/>
    <w:rsid w:val="00216808"/>
    <w:rsid w:val="002179D0"/>
    <w:rsid w:val="00221C7C"/>
    <w:rsid w:val="00255480"/>
    <w:rsid w:val="002A6417"/>
    <w:rsid w:val="002B2D7A"/>
    <w:rsid w:val="002B313C"/>
    <w:rsid w:val="002B4B62"/>
    <w:rsid w:val="002D0A9A"/>
    <w:rsid w:val="002E41E1"/>
    <w:rsid w:val="002F3075"/>
    <w:rsid w:val="003118BE"/>
    <w:rsid w:val="0033577E"/>
    <w:rsid w:val="00346990"/>
    <w:rsid w:val="003638E7"/>
    <w:rsid w:val="0037179E"/>
    <w:rsid w:val="00392DE4"/>
    <w:rsid w:val="003B636D"/>
    <w:rsid w:val="003C0386"/>
    <w:rsid w:val="003E7C71"/>
    <w:rsid w:val="00402299"/>
    <w:rsid w:val="00405F32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C651D"/>
    <w:rsid w:val="004E4291"/>
    <w:rsid w:val="005026D6"/>
    <w:rsid w:val="0052088C"/>
    <w:rsid w:val="00521247"/>
    <w:rsid w:val="00531DAD"/>
    <w:rsid w:val="00552FA0"/>
    <w:rsid w:val="00556DCB"/>
    <w:rsid w:val="00560B42"/>
    <w:rsid w:val="00561FE7"/>
    <w:rsid w:val="00563833"/>
    <w:rsid w:val="00564B3E"/>
    <w:rsid w:val="0056593E"/>
    <w:rsid w:val="00576E77"/>
    <w:rsid w:val="00593EB8"/>
    <w:rsid w:val="005A0D87"/>
    <w:rsid w:val="005A288A"/>
    <w:rsid w:val="005A2A6E"/>
    <w:rsid w:val="005B45CC"/>
    <w:rsid w:val="005B6996"/>
    <w:rsid w:val="005B69F4"/>
    <w:rsid w:val="005B6CD3"/>
    <w:rsid w:val="005C6579"/>
    <w:rsid w:val="005D06CA"/>
    <w:rsid w:val="005D2BF9"/>
    <w:rsid w:val="005D5F42"/>
    <w:rsid w:val="005E1FAC"/>
    <w:rsid w:val="005F5BCA"/>
    <w:rsid w:val="00606564"/>
    <w:rsid w:val="00606F44"/>
    <w:rsid w:val="00625C9D"/>
    <w:rsid w:val="006379E1"/>
    <w:rsid w:val="00643CCE"/>
    <w:rsid w:val="00644501"/>
    <w:rsid w:val="00656D8A"/>
    <w:rsid w:val="006605C1"/>
    <w:rsid w:val="00662923"/>
    <w:rsid w:val="00662A7B"/>
    <w:rsid w:val="00667449"/>
    <w:rsid w:val="00683F62"/>
    <w:rsid w:val="006845CA"/>
    <w:rsid w:val="006A1695"/>
    <w:rsid w:val="006B552D"/>
    <w:rsid w:val="006D7F7E"/>
    <w:rsid w:val="0070120F"/>
    <w:rsid w:val="007059F2"/>
    <w:rsid w:val="00724247"/>
    <w:rsid w:val="007259BD"/>
    <w:rsid w:val="007417A7"/>
    <w:rsid w:val="00747492"/>
    <w:rsid w:val="00752AEB"/>
    <w:rsid w:val="00753C27"/>
    <w:rsid w:val="00761333"/>
    <w:rsid w:val="00764BBE"/>
    <w:rsid w:val="00764DAF"/>
    <w:rsid w:val="00764FFD"/>
    <w:rsid w:val="00781270"/>
    <w:rsid w:val="00793203"/>
    <w:rsid w:val="00795014"/>
    <w:rsid w:val="007A26CD"/>
    <w:rsid w:val="007A7FF6"/>
    <w:rsid w:val="007B5242"/>
    <w:rsid w:val="007C157D"/>
    <w:rsid w:val="007C33D7"/>
    <w:rsid w:val="007D0E96"/>
    <w:rsid w:val="007D70C5"/>
    <w:rsid w:val="007E654F"/>
    <w:rsid w:val="007F07F5"/>
    <w:rsid w:val="007F5AD1"/>
    <w:rsid w:val="00822298"/>
    <w:rsid w:val="00826AB6"/>
    <w:rsid w:val="008524C6"/>
    <w:rsid w:val="008729C4"/>
    <w:rsid w:val="008730CD"/>
    <w:rsid w:val="00875410"/>
    <w:rsid w:val="00876399"/>
    <w:rsid w:val="008764A0"/>
    <w:rsid w:val="00877A40"/>
    <w:rsid w:val="00881DD3"/>
    <w:rsid w:val="008825E5"/>
    <w:rsid w:val="0089725A"/>
    <w:rsid w:val="008A304D"/>
    <w:rsid w:val="008A3DFC"/>
    <w:rsid w:val="008B140C"/>
    <w:rsid w:val="008B203D"/>
    <w:rsid w:val="008C5929"/>
    <w:rsid w:val="008D634F"/>
    <w:rsid w:val="008F5D3C"/>
    <w:rsid w:val="00901BE9"/>
    <w:rsid w:val="00905288"/>
    <w:rsid w:val="009102BF"/>
    <w:rsid w:val="00917DD5"/>
    <w:rsid w:val="00926F6A"/>
    <w:rsid w:val="00930930"/>
    <w:rsid w:val="0094497C"/>
    <w:rsid w:val="009524E4"/>
    <w:rsid w:val="0095630F"/>
    <w:rsid w:val="00963CD6"/>
    <w:rsid w:val="009A2D8C"/>
    <w:rsid w:val="009C0957"/>
    <w:rsid w:val="009E0078"/>
    <w:rsid w:val="009E0DB0"/>
    <w:rsid w:val="009E15A1"/>
    <w:rsid w:val="009E3F7E"/>
    <w:rsid w:val="009E5039"/>
    <w:rsid w:val="009F127A"/>
    <w:rsid w:val="009F56D2"/>
    <w:rsid w:val="00A0706B"/>
    <w:rsid w:val="00A10043"/>
    <w:rsid w:val="00A1339F"/>
    <w:rsid w:val="00A166E2"/>
    <w:rsid w:val="00A26D71"/>
    <w:rsid w:val="00A46674"/>
    <w:rsid w:val="00A47819"/>
    <w:rsid w:val="00A47B52"/>
    <w:rsid w:val="00A57C74"/>
    <w:rsid w:val="00A81978"/>
    <w:rsid w:val="00A85525"/>
    <w:rsid w:val="00A85EFE"/>
    <w:rsid w:val="00AA0273"/>
    <w:rsid w:val="00AA1795"/>
    <w:rsid w:val="00AA4176"/>
    <w:rsid w:val="00AB3A7E"/>
    <w:rsid w:val="00AB7FCA"/>
    <w:rsid w:val="00AC029A"/>
    <w:rsid w:val="00AD7C11"/>
    <w:rsid w:val="00AF7C22"/>
    <w:rsid w:val="00B01BD2"/>
    <w:rsid w:val="00B061A5"/>
    <w:rsid w:val="00B07B15"/>
    <w:rsid w:val="00B31645"/>
    <w:rsid w:val="00B50357"/>
    <w:rsid w:val="00B52F1C"/>
    <w:rsid w:val="00B61FD1"/>
    <w:rsid w:val="00B674E0"/>
    <w:rsid w:val="00B85611"/>
    <w:rsid w:val="00B92645"/>
    <w:rsid w:val="00B941B4"/>
    <w:rsid w:val="00BA57ED"/>
    <w:rsid w:val="00BA79A5"/>
    <w:rsid w:val="00BB40B4"/>
    <w:rsid w:val="00BB5357"/>
    <w:rsid w:val="00BC196A"/>
    <w:rsid w:val="00BC75E7"/>
    <w:rsid w:val="00BD188E"/>
    <w:rsid w:val="00BE1952"/>
    <w:rsid w:val="00BE2F10"/>
    <w:rsid w:val="00BF1D8F"/>
    <w:rsid w:val="00BF4291"/>
    <w:rsid w:val="00BF461D"/>
    <w:rsid w:val="00C16194"/>
    <w:rsid w:val="00C31B79"/>
    <w:rsid w:val="00C63824"/>
    <w:rsid w:val="00C66FE2"/>
    <w:rsid w:val="00C82A7D"/>
    <w:rsid w:val="00C830ED"/>
    <w:rsid w:val="00CA7BBC"/>
    <w:rsid w:val="00CB69B6"/>
    <w:rsid w:val="00CB7A3D"/>
    <w:rsid w:val="00CC63FC"/>
    <w:rsid w:val="00CC6CA3"/>
    <w:rsid w:val="00CE1EBE"/>
    <w:rsid w:val="00CE3F11"/>
    <w:rsid w:val="00CE7AEC"/>
    <w:rsid w:val="00D2319B"/>
    <w:rsid w:val="00D448DF"/>
    <w:rsid w:val="00D60795"/>
    <w:rsid w:val="00D64BCB"/>
    <w:rsid w:val="00D8178B"/>
    <w:rsid w:val="00DA0BD4"/>
    <w:rsid w:val="00DA5FAB"/>
    <w:rsid w:val="00DE02CD"/>
    <w:rsid w:val="00DE3011"/>
    <w:rsid w:val="00E054F3"/>
    <w:rsid w:val="00E06368"/>
    <w:rsid w:val="00E30054"/>
    <w:rsid w:val="00E3289D"/>
    <w:rsid w:val="00E449A4"/>
    <w:rsid w:val="00E52270"/>
    <w:rsid w:val="00E53AA3"/>
    <w:rsid w:val="00E56533"/>
    <w:rsid w:val="00E60297"/>
    <w:rsid w:val="00E62795"/>
    <w:rsid w:val="00E9094C"/>
    <w:rsid w:val="00E949FE"/>
    <w:rsid w:val="00E96F19"/>
    <w:rsid w:val="00EA3E6C"/>
    <w:rsid w:val="00EB7EC1"/>
    <w:rsid w:val="00ED28DF"/>
    <w:rsid w:val="00ED2FFA"/>
    <w:rsid w:val="00EE74C8"/>
    <w:rsid w:val="00EF3768"/>
    <w:rsid w:val="00EF7496"/>
    <w:rsid w:val="00F202B1"/>
    <w:rsid w:val="00F3359F"/>
    <w:rsid w:val="00F64F4A"/>
    <w:rsid w:val="00F757A3"/>
    <w:rsid w:val="00F91A40"/>
    <w:rsid w:val="00F950E6"/>
    <w:rsid w:val="00FB2CD2"/>
    <w:rsid w:val="00FC3493"/>
    <w:rsid w:val="00FC59B2"/>
    <w:rsid w:val="00FD11EA"/>
    <w:rsid w:val="00FD32FB"/>
    <w:rsid w:val="00FD33B6"/>
    <w:rsid w:val="00FD4DEF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1536D"/>
  <w15:docId w15:val="{D9B2D4F6-766D-4B0D-BE37-865E2A2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684D-E794-4C1D-9924-A81CD948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Lanix</cp:lastModifiedBy>
  <cp:revision>98</cp:revision>
  <cp:lastPrinted>2020-08-24T16:47:00Z</cp:lastPrinted>
  <dcterms:created xsi:type="dcterms:W3CDTF">2018-11-08T18:50:00Z</dcterms:created>
  <dcterms:modified xsi:type="dcterms:W3CDTF">2022-10-03T04:56:00Z</dcterms:modified>
</cp:coreProperties>
</file>