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3428"/>
        <w:gridCol w:w="893"/>
        <w:gridCol w:w="1125"/>
        <w:gridCol w:w="1246"/>
        <w:gridCol w:w="2092"/>
      </w:tblGrid>
      <w:tr w:rsidR="006D646F" w14:paraId="4754796F" w14:textId="77777777" w:rsidTr="00315FD7">
        <w:trPr>
          <w:tblHeader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259E79A2" w14:textId="77777777" w:rsidR="009102BF" w:rsidRDefault="009102BF" w:rsidP="00525F67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  <w:t>Exposición 1 de 1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4BAD02E2" w14:textId="000845B9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Inic</w:t>
            </w:r>
            <w:r w:rsidR="0070120F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iativas para Ley de Ingreso 20</w:t>
            </w:r>
            <w:r w:rsidR="004B02BD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2</w:t>
            </w:r>
            <w:r w:rsidR="00734A64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3</w:t>
            </w:r>
          </w:p>
        </w:tc>
      </w:tr>
      <w:tr w:rsidR="009102BF" w14:paraId="7A914D29" w14:textId="77777777" w:rsidTr="00315FD7">
        <w:trPr>
          <w:tblHeader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36F4B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MX"/>
              </w:rPr>
              <w:t>Formato para exposición motivos</w:t>
            </w:r>
          </w:p>
        </w:tc>
      </w:tr>
      <w:tr w:rsidR="009610DB" w14:paraId="5A5C88C6" w14:textId="77777777" w:rsidTr="00315FD7">
        <w:trPr>
          <w:tblHeader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334A1196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Municipio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B916C5A" w14:textId="77777777"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Poner los datos de ubicación en relación a la iniciativa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4F68FC3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  <w:t>Artículo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1F6083B" w14:textId="77777777" w:rsidR="009102BF" w:rsidRDefault="006B4D9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>23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26A6717D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Concepto de cobro</w:t>
            </w:r>
          </w:p>
        </w:tc>
      </w:tr>
      <w:tr w:rsidR="006D646F" w14:paraId="1663ABFC" w14:textId="77777777" w:rsidTr="00315FD7">
        <w:trPr>
          <w:trHeight w:val="420"/>
          <w:tblHeader/>
        </w:trPr>
        <w:tc>
          <w:tcPr>
            <w:tcW w:w="3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EEE5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Guanajuato, Guanajuato</w:t>
            </w: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48E4D" w14:textId="77777777"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223E1E9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  <w:t>Fracción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7B7D" w14:textId="4816A0A7" w:rsidR="006D646F" w:rsidRDefault="0094721A" w:rsidP="006D646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>X</w:t>
            </w:r>
            <w:r w:rsidR="00423045"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>I</w:t>
            </w:r>
            <w:r w:rsidR="00DB3029"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>I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CECE9" w14:textId="3EAF473F" w:rsidR="00D551AB" w:rsidRDefault="00D551AB" w:rsidP="00D551A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Por la prestación de servicios de Protección Civil</w:t>
            </w:r>
          </w:p>
          <w:p w14:paraId="6BF44E10" w14:textId="28A713C0" w:rsidR="009610DB" w:rsidRDefault="009610D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6D646F" w14:paraId="2775467E" w14:textId="77777777" w:rsidTr="00315FD7">
        <w:trPr>
          <w:trHeight w:val="240"/>
          <w:tblHeader/>
        </w:trPr>
        <w:tc>
          <w:tcPr>
            <w:tcW w:w="3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92E1" w14:textId="77777777"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7B49" w14:textId="77777777"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4CA662E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  <w:t>Inciso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B133" w14:textId="654D0551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DE1A" w14:textId="77777777"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6D646F" w14:paraId="69473311" w14:textId="77777777" w:rsidTr="00315FD7">
        <w:trPr>
          <w:trHeight w:val="2042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0858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Situación actual del hecho generador:</w:t>
            </w:r>
          </w:p>
          <w:p w14:paraId="7032F720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6E3F7AB0" w14:textId="77777777" w:rsidR="009102BF" w:rsidRDefault="009102BF">
            <w:pPr>
              <w:pStyle w:val="Prrafodelista"/>
              <w:spacing w:line="240" w:lineRule="auto"/>
              <w:ind w:lef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*</w:t>
            </w:r>
            <w:r>
              <w:rPr>
                <w:rFonts w:ascii="Arial" w:hAnsi="Arial" w:cs="Arial"/>
              </w:rPr>
              <w:t>Es la circunstancia o condición que da nacimiento a la obligación tributaria.</w:t>
            </w:r>
          </w:p>
          <w:p w14:paraId="145299B7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3FDFCAFC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B8E9" w14:textId="7136C9EF" w:rsidR="00423045" w:rsidRDefault="00AE3BBD" w:rsidP="008823A3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E3BB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Reglamento de Protección Civil del Municipio, Artículo 28, Fracción XVIII, 46,47, 50; Ley de Ingresos para el Municipio de Guanajuato, Artículo </w:t>
            </w:r>
            <w:proofErr w:type="gramStart"/>
            <w:r w:rsidRPr="00AE3BB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23 ,</w:t>
            </w:r>
            <w:proofErr w:type="gramEnd"/>
            <w:r w:rsidRPr="00AE3BB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Fracción XII, para el ejercicio fiscal 2023.</w:t>
            </w:r>
          </w:p>
          <w:p w14:paraId="5DEDB7C1" w14:textId="77777777" w:rsidR="00AE3BBD" w:rsidRDefault="00AE3BBD" w:rsidP="008823A3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077B06A8" w14:textId="4DC0387D" w:rsidR="009102BF" w:rsidRPr="008823A3" w:rsidRDefault="008F5D3C" w:rsidP="008823A3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823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Derivado del </w:t>
            </w:r>
            <w:r w:rsidR="00C31B79" w:rsidRPr="008823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Artículo</w:t>
            </w:r>
            <w:r w:rsidRPr="008823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 de la Ley de Hacienda para los municipios del Estado de Guanajuato. Fracción I inciso A) Son contribuciones: los Impuestos, derechos y contribuciones especiales.</w:t>
            </w:r>
          </w:p>
          <w:p w14:paraId="15BB1E18" w14:textId="77777777" w:rsidR="00654FF5" w:rsidRPr="008823A3" w:rsidRDefault="00654FF5" w:rsidP="008823A3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759CF433" w14:textId="21E84CC8" w:rsidR="009F158F" w:rsidRDefault="00C31B79" w:rsidP="008823A3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823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Y </w:t>
            </w:r>
            <w:r w:rsidR="009F158F" w:rsidRPr="008823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que,</w:t>
            </w:r>
            <w:r w:rsidRPr="008823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 la Ley de Ingresos para el Municipio de Guanajuato, Guanajuato, para el ejercicio fiscal del año 20</w:t>
            </w:r>
            <w:r w:rsidR="0016760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  <w:r w:rsidR="00D54EE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</w:t>
            </w:r>
            <w:r w:rsidRPr="008823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, se indica en</w:t>
            </w:r>
            <w:r w:rsidR="009F158F" w:rsidRPr="008823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:</w:t>
            </w:r>
            <w:r w:rsidR="00E728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9F158F" w:rsidRPr="008823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Artículo 23. </w:t>
            </w:r>
            <w:r w:rsidR="00A36AA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Los</w:t>
            </w:r>
            <w:r w:rsidR="00A36AAF" w:rsidRPr="008823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derechos por la prestación de los servicios de Protección Civil</w:t>
            </w:r>
            <w:r w:rsidR="005A073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:</w:t>
            </w:r>
          </w:p>
          <w:p w14:paraId="334DECED" w14:textId="4F87119E" w:rsidR="009610DB" w:rsidRDefault="009610DB" w:rsidP="008823A3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499F038F" w14:textId="669F0B62" w:rsidR="003A13AB" w:rsidRDefault="00D23CA6" w:rsidP="006102E0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es-MX"/>
              </w:rPr>
              <w:t>Nuevo cobro</w:t>
            </w:r>
            <w:r w:rsidR="005A0733">
              <w:rPr>
                <w:rFonts w:ascii="Arial" w:eastAsia="Times New Roman" w:hAnsi="Arial" w:cs="Arial"/>
                <w:sz w:val="20"/>
                <w:szCs w:val="20"/>
                <w:u w:val="single"/>
                <w:lang w:eastAsia="es-MX"/>
              </w:rPr>
              <w:t xml:space="preserve"> a particulares por servicios</w:t>
            </w:r>
            <w:r w:rsidR="00A36AAF">
              <w:rPr>
                <w:rFonts w:ascii="Arial" w:eastAsia="Times New Roman" w:hAnsi="Arial" w:cs="Arial"/>
                <w:sz w:val="20"/>
                <w:szCs w:val="20"/>
                <w:u w:val="single"/>
                <w:lang w:eastAsia="es-MX"/>
              </w:rPr>
              <w:t xml:space="preserve"> recurrentes de </w:t>
            </w:r>
            <w:r w:rsidR="009D33FF">
              <w:rPr>
                <w:rFonts w:ascii="Arial" w:eastAsia="Times New Roman" w:hAnsi="Arial" w:cs="Arial"/>
                <w:sz w:val="20"/>
                <w:szCs w:val="20"/>
                <w:u w:val="single"/>
                <w:lang w:eastAsia="es-MX"/>
              </w:rPr>
              <w:t>seguridad en</w:t>
            </w:r>
            <w:r w:rsidR="005A0733">
              <w:rPr>
                <w:rFonts w:ascii="Arial" w:eastAsia="Times New Roman" w:hAnsi="Arial" w:cs="Arial"/>
                <w:sz w:val="20"/>
                <w:szCs w:val="20"/>
                <w:u w:val="single"/>
                <w:lang w:eastAsia="es-MX"/>
              </w:rPr>
              <w:t xml:space="preserve"> materia d</w:t>
            </w:r>
            <w:r w:rsidR="00A36AAF">
              <w:rPr>
                <w:rFonts w:ascii="Arial" w:eastAsia="Times New Roman" w:hAnsi="Arial" w:cs="Arial"/>
                <w:sz w:val="20"/>
                <w:szCs w:val="20"/>
                <w:u w:val="single"/>
                <w:lang w:eastAsia="es-MX"/>
              </w:rPr>
              <w:t>e Protección Civil</w:t>
            </w:r>
            <w:r w:rsidR="009D33FF" w:rsidRPr="009D33F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  <w:p w14:paraId="7DA0B865" w14:textId="77777777" w:rsidR="003A13AB" w:rsidRDefault="003A13AB" w:rsidP="006102E0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0BA237E6" w14:textId="3E45AA91" w:rsidR="009102BF" w:rsidRPr="007C724F" w:rsidRDefault="009D33FF" w:rsidP="006102E0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Derivado del costo que se genera</w:t>
            </w:r>
            <w:r w:rsidR="006C159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al realizar </w:t>
            </w:r>
            <w:r w:rsidR="00AE3BB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evaluaciones</w:t>
            </w:r>
            <w:r w:rsidR="006E286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</w:t>
            </w:r>
            <w:r w:rsidR="00005C2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seguridad en</w:t>
            </w:r>
            <w:r w:rsidR="00D3541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materia de Protección Civil</w:t>
            </w:r>
            <w:r w:rsidR="00C340E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,</w:t>
            </w:r>
            <w:r w:rsidR="00235B4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a </w:t>
            </w:r>
            <w:r w:rsidR="00C340E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los </w:t>
            </w:r>
            <w:r w:rsidR="0042304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particulares que solicitan la evaluación de un </w:t>
            </w:r>
            <w:r w:rsidR="00AE3BBD" w:rsidRPr="00AE3BB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simulacro</w:t>
            </w:r>
            <w:r w:rsidR="00EC40A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,</w:t>
            </w:r>
            <w:r w:rsidR="00C340E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con la finalidad de</w:t>
            </w:r>
            <w:r w:rsidR="00AE3BBD" w:rsidRPr="00C340E4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7A1C7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valorar</w:t>
            </w:r>
            <w:r w:rsidR="00AE3BBD" w:rsidRPr="00C340E4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procedimientos, herramientas, habilidades, destrezas, capacidades</w:t>
            </w:r>
            <w:r w:rsidR="00C340E4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AE3BBD" w:rsidRPr="00C340E4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individuales e institucionales</w:t>
            </w:r>
            <w:r w:rsidR="00C340E4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  <w:r w:rsidR="00AE3BBD" w:rsidRPr="00C340E4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relacionadas con los preparativos y la respuesta a desastres</w:t>
            </w:r>
            <w:r w:rsidR="00005C2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,</w:t>
            </w:r>
            <w:r w:rsidR="00C340E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con la obtención de una constancia, necesaria para dar cumplimiento a los puntos de seguridad dentro de su programa interno; por ello  </w:t>
            </w:r>
            <w:r w:rsidR="00F0082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surge</w:t>
            </w:r>
            <w:r w:rsidR="006C159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la </w:t>
            </w:r>
            <w:r w:rsidR="006102E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necesidad de</w:t>
            </w:r>
            <w:r w:rsidR="006C159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6102E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proponer </w:t>
            </w:r>
            <w:r w:rsidR="00AD7B8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</w:t>
            </w:r>
            <w:r w:rsidR="003A13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6102E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cobro</w:t>
            </w:r>
            <w:r w:rsidR="00B81E9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F0082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 </w:t>
            </w:r>
            <w:r w:rsidR="00005C2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evaluación</w:t>
            </w:r>
            <w:r w:rsidR="00C340E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simulacros</w:t>
            </w:r>
            <w:r w:rsidR="00005C2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,</w:t>
            </w:r>
            <w:r w:rsidR="00C340E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lo cual, nos </w:t>
            </w:r>
            <w:r w:rsidR="007A1C7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permitirá </w:t>
            </w:r>
            <w:r w:rsidR="00A14B6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recuperar</w:t>
            </w:r>
            <w:r w:rsidR="006102E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la proporcionalidad de los costos </w:t>
            </w:r>
            <w:r w:rsidR="003A13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que se generan</w:t>
            </w:r>
            <w:r w:rsidR="00C56BA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al </w:t>
            </w:r>
            <w:r w:rsidR="00005C2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brindar este servicio.</w:t>
            </w:r>
          </w:p>
        </w:tc>
      </w:tr>
      <w:tr w:rsidR="006D646F" w14:paraId="70BDBD1C" w14:textId="77777777" w:rsidTr="00315FD7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FC13" w14:textId="7CA2342B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4A22" w14:textId="2405274E" w:rsidR="009102BF" w:rsidRDefault="009102B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9102BF" w14:paraId="195FF990" w14:textId="77777777" w:rsidTr="00315FD7"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CD54F" w14:textId="502AAE64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Nuevo incremento sobre la contribución</w:t>
            </w:r>
            <w:r w:rsidR="00A21354">
              <w:rPr>
                <w:rFonts w:ascii="Arial" w:hAnsi="Arial" w:cs="Arial"/>
                <w:b/>
              </w:rPr>
              <w:t xml:space="preserve"> (Nuevas contribuciones)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6D646F" w14:paraId="1F88573B" w14:textId="77777777" w:rsidTr="00315FD7">
        <w:trPr>
          <w:trHeight w:val="70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D631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Tasa o tarifa actual:</w:t>
            </w:r>
          </w:p>
          <w:p w14:paraId="1F26D737" w14:textId="77777777"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Las contenidas en la Ley vigente</w:t>
            </w:r>
          </w:p>
          <w:p w14:paraId="301B2269" w14:textId="77777777"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14:paraId="6F36AD4B" w14:textId="7565A752" w:rsidR="009102BF" w:rsidRDefault="002A4DAC" w:rsidP="00515B93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0C56" w14:textId="3D6942E9" w:rsidR="009102BF" w:rsidRDefault="00A21354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Nuevas contribuciones</w:t>
            </w:r>
            <w:r w:rsidR="009102BF">
              <w:rPr>
                <w:rFonts w:ascii="Arial" w:hAnsi="Arial" w:cs="Arial"/>
                <w:b/>
              </w:rPr>
              <w:t>:</w:t>
            </w:r>
          </w:p>
          <w:p w14:paraId="376CBDB8" w14:textId="2C849175" w:rsidR="00846349" w:rsidRDefault="00846349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4D2EF714" w14:textId="782C579E" w:rsidR="00807B30" w:rsidRDefault="0032019E" w:rsidP="00392B8C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019E">
              <w:rPr>
                <w:rFonts w:ascii="Arial" w:hAnsi="Arial" w:cs="Arial"/>
                <w:sz w:val="20"/>
                <w:szCs w:val="20"/>
              </w:rPr>
              <w:t xml:space="preserve">Se plantea </w:t>
            </w:r>
            <w:r w:rsidR="006E286A">
              <w:rPr>
                <w:rFonts w:ascii="Arial" w:hAnsi="Arial" w:cs="Arial"/>
                <w:sz w:val="20"/>
                <w:szCs w:val="20"/>
              </w:rPr>
              <w:t>nuevo cobro</w:t>
            </w:r>
            <w:r>
              <w:rPr>
                <w:rFonts w:ascii="Arial" w:hAnsi="Arial" w:cs="Arial"/>
                <w:sz w:val="20"/>
                <w:szCs w:val="20"/>
              </w:rPr>
              <w:t xml:space="preserve"> por </w:t>
            </w:r>
            <w:r w:rsidR="0093492A">
              <w:rPr>
                <w:rFonts w:ascii="Arial" w:hAnsi="Arial" w:cs="Arial"/>
                <w:sz w:val="20"/>
                <w:szCs w:val="20"/>
              </w:rPr>
              <w:t xml:space="preserve">prestación de servicios </w:t>
            </w:r>
            <w:r>
              <w:rPr>
                <w:rFonts w:ascii="Arial" w:hAnsi="Arial" w:cs="Arial"/>
                <w:sz w:val="20"/>
                <w:szCs w:val="20"/>
              </w:rPr>
              <w:t>de seguridad</w:t>
            </w:r>
            <w:r w:rsidR="007A1C7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en materia d</w:t>
            </w:r>
            <w:r w:rsidR="00A03CCB">
              <w:rPr>
                <w:rFonts w:ascii="Arial" w:hAnsi="Arial" w:cs="Arial"/>
                <w:sz w:val="20"/>
                <w:szCs w:val="20"/>
              </w:rPr>
              <w:t>e Protección Civil</w:t>
            </w:r>
            <w:r w:rsidR="0093492A">
              <w:rPr>
                <w:rFonts w:ascii="Arial" w:hAnsi="Arial" w:cs="Arial"/>
                <w:sz w:val="20"/>
                <w:szCs w:val="20"/>
              </w:rPr>
              <w:t xml:space="preserve">, necesarios </w:t>
            </w:r>
            <w:r w:rsidR="00807B30">
              <w:rPr>
                <w:rFonts w:ascii="Arial" w:hAnsi="Arial" w:cs="Arial"/>
                <w:sz w:val="20"/>
                <w:szCs w:val="20"/>
              </w:rPr>
              <w:t xml:space="preserve">para </w:t>
            </w:r>
            <w:r w:rsidR="00F007A6">
              <w:rPr>
                <w:rFonts w:ascii="Arial" w:hAnsi="Arial" w:cs="Arial"/>
                <w:sz w:val="20"/>
                <w:szCs w:val="20"/>
              </w:rPr>
              <w:t>g</w:t>
            </w:r>
            <w:r w:rsidR="00807B30">
              <w:rPr>
                <w:rFonts w:ascii="Arial" w:hAnsi="Arial" w:cs="Arial"/>
                <w:sz w:val="20"/>
                <w:szCs w:val="20"/>
              </w:rPr>
              <w:t xml:space="preserve">arantizar la seguridad de </w:t>
            </w:r>
            <w:r w:rsidR="00C56BA2">
              <w:rPr>
                <w:rFonts w:ascii="Arial" w:hAnsi="Arial" w:cs="Arial"/>
                <w:sz w:val="20"/>
                <w:szCs w:val="20"/>
              </w:rPr>
              <w:t>los usuarios</w:t>
            </w:r>
            <w:r w:rsidR="00C048B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3B1D227" w14:textId="27D7E408" w:rsidR="00F007A6" w:rsidRDefault="00F007A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00EC395" w14:textId="77777777" w:rsidR="007A1C79" w:rsidRDefault="00005C26" w:rsidP="00AE1BA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  <w:r w:rsidR="007A1C79">
              <w:rPr>
                <w:rFonts w:ascii="Arial" w:hAnsi="Arial" w:cs="Arial"/>
                <w:sz w:val="18"/>
                <w:szCs w:val="18"/>
              </w:rPr>
              <w:t xml:space="preserve">II. Evaluación de simulacros con expedición </w:t>
            </w:r>
          </w:p>
          <w:p w14:paraId="7832DC84" w14:textId="44FB643D" w:rsidR="00AE1BA8" w:rsidRPr="00996441" w:rsidRDefault="007A1C79" w:rsidP="00AE1BA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constancia                                                             $155.22</w:t>
            </w:r>
          </w:p>
          <w:p w14:paraId="2823FAC3" w14:textId="2016B369" w:rsidR="00C048B7" w:rsidRPr="00996441" w:rsidRDefault="00C048B7" w:rsidP="00C048B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96441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="0099644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99644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C036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96441"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</w:p>
          <w:p w14:paraId="5AED0E57" w14:textId="2553F979" w:rsidR="00807B30" w:rsidRPr="00996441" w:rsidRDefault="00B8497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96441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</w:t>
            </w:r>
          </w:p>
          <w:p w14:paraId="6544C090" w14:textId="1DC99F32" w:rsidR="00A03CCB" w:rsidRPr="0032019E" w:rsidRDefault="00807B3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2863C5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6D646F" w14:paraId="028AA3FF" w14:textId="77777777" w:rsidTr="00315FD7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4408" w14:textId="1B0E2E01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Indicar si es:</w:t>
            </w:r>
          </w:p>
          <w:p w14:paraId="7C49B953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9DDD" w14:textId="77777777" w:rsidR="009102BF" w:rsidRPr="00007643" w:rsidRDefault="009102B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Impuesto:</w:t>
            </w:r>
            <w:r w:rsidR="00007643">
              <w:rPr>
                <w:rFonts w:ascii="Arial" w:hAnsi="Arial" w:cs="Arial"/>
              </w:rPr>
              <w:t xml:space="preserve">   </w:t>
            </w:r>
          </w:p>
          <w:p w14:paraId="434FF2BD" w14:textId="6B201C6C" w:rsidR="00007643" w:rsidRPr="006A20B5" w:rsidRDefault="009102B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Derecho: </w:t>
            </w:r>
          </w:p>
          <w:p w14:paraId="6D201320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Otra:</w:t>
            </w:r>
          </w:p>
        </w:tc>
      </w:tr>
      <w:tr w:rsidR="009102BF" w14:paraId="007A72DA" w14:textId="77777777" w:rsidTr="00315FD7"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21A5F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Nueva contribución propuesta:</w:t>
            </w:r>
          </w:p>
        </w:tc>
      </w:tr>
      <w:tr w:rsidR="006D646F" w14:paraId="2AE8D86A" w14:textId="77777777" w:rsidTr="00315FD7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D27C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Indicar si es:</w:t>
            </w:r>
          </w:p>
          <w:p w14:paraId="0C5BCF38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5336" w14:textId="77777777" w:rsidR="009102BF" w:rsidRPr="00007643" w:rsidRDefault="009102B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Impuesto:</w:t>
            </w:r>
            <w:r w:rsidR="00007643">
              <w:rPr>
                <w:rFonts w:ascii="Arial" w:hAnsi="Arial" w:cs="Arial"/>
              </w:rPr>
              <w:t xml:space="preserve">      </w:t>
            </w:r>
          </w:p>
          <w:p w14:paraId="016A1D7B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Derecho:</w:t>
            </w:r>
            <w:r w:rsidR="002A285B">
              <w:rPr>
                <w:rFonts w:ascii="Arial" w:hAnsi="Arial" w:cs="Arial"/>
              </w:rPr>
              <w:t xml:space="preserve"> </w:t>
            </w:r>
            <w:r w:rsidR="002A285B" w:rsidRPr="002A285B"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</w:t>
            </w:r>
          </w:p>
          <w:p w14:paraId="5EF9A982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Otra:</w:t>
            </w:r>
          </w:p>
        </w:tc>
      </w:tr>
      <w:tr w:rsidR="009102BF" w14:paraId="45E95153" w14:textId="77777777" w:rsidTr="00315FD7"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26EF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14:paraId="76B98326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Apartado para contribuciones actuales y nuevas:</w:t>
            </w:r>
          </w:p>
        </w:tc>
      </w:tr>
      <w:tr w:rsidR="006D646F" w14:paraId="040ED2EE" w14:textId="77777777" w:rsidTr="00315FD7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1B532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Sujeto: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030D" w14:textId="54786254" w:rsidR="009102BF" w:rsidRPr="007027B6" w:rsidRDefault="00B9447F" w:rsidP="008823A3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27B6">
              <w:rPr>
                <w:rFonts w:ascii="Arial" w:hAnsi="Arial" w:cs="Arial"/>
                <w:color w:val="000000" w:themeColor="text1"/>
                <w:sz w:val="20"/>
                <w:szCs w:val="20"/>
              </w:rPr>
              <w:t>Tod</w:t>
            </w:r>
            <w:r w:rsidR="007027B6">
              <w:rPr>
                <w:rFonts w:ascii="Arial" w:hAnsi="Arial" w:cs="Arial"/>
                <w:color w:val="000000" w:themeColor="text1"/>
                <w:sz w:val="20"/>
                <w:szCs w:val="20"/>
              </w:rPr>
              <w:t>a institución privada</w:t>
            </w:r>
            <w:r w:rsidR="00007643" w:rsidRPr="007027B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que </w:t>
            </w:r>
            <w:r w:rsidR="005F2A04" w:rsidRPr="007027B6">
              <w:rPr>
                <w:rFonts w:ascii="Arial" w:hAnsi="Arial" w:cs="Arial"/>
                <w:color w:val="000000" w:themeColor="text1"/>
                <w:sz w:val="20"/>
                <w:szCs w:val="20"/>
              </w:rPr>
              <w:t>solicite</w:t>
            </w:r>
            <w:r w:rsidR="00B70A79" w:rsidRPr="007027B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la </w:t>
            </w:r>
            <w:r w:rsidR="001635BE" w:rsidRPr="007027B6">
              <w:rPr>
                <w:rFonts w:ascii="Arial" w:hAnsi="Arial" w:cs="Arial"/>
                <w:color w:val="000000" w:themeColor="text1"/>
                <w:sz w:val="20"/>
                <w:szCs w:val="20"/>
              </w:rPr>
              <w:t>evaluación</w:t>
            </w:r>
            <w:r w:rsidR="007A1C79" w:rsidRPr="007027B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 simulacros</w:t>
            </w:r>
            <w:r w:rsidR="007027B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en centros de </w:t>
            </w:r>
            <w:r w:rsidR="003461F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trabajo, </w:t>
            </w:r>
            <w:r w:rsidR="003461F0" w:rsidRPr="007027B6">
              <w:rPr>
                <w:rFonts w:ascii="Arial" w:hAnsi="Arial" w:cs="Arial"/>
                <w:color w:val="000000" w:themeColor="text1"/>
                <w:sz w:val="20"/>
                <w:szCs w:val="20"/>
              </w:rPr>
              <w:t>siguiendo</w:t>
            </w:r>
            <w:r w:rsidR="007027B6" w:rsidRPr="007027B6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un plan previamente establecido basado en procedimientos de seguridad y protección en un lugar determinado.</w:t>
            </w:r>
          </w:p>
        </w:tc>
      </w:tr>
      <w:tr w:rsidR="006D646F" w14:paraId="448D52AC" w14:textId="77777777" w:rsidTr="00315FD7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EB9B2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Objeto: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1BE8" w14:textId="34D4CB62" w:rsidR="009102BF" w:rsidRPr="003461F0" w:rsidRDefault="003461F0" w:rsidP="008823A3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61F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Preparar y concientizar a las personas que se encuentren dentro los diferentes inmuebles</w:t>
            </w:r>
            <w:r w:rsidR="00EC40A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r w:rsidRPr="003461F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con el fin de adoptar las rutinas de acción más convenientes para afrontar una situación de emergencia.</w:t>
            </w:r>
          </w:p>
        </w:tc>
      </w:tr>
      <w:tr w:rsidR="006D646F" w14:paraId="043AC9EC" w14:textId="77777777" w:rsidTr="00315FD7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95D95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Base: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2547" w14:textId="3C96DF78" w:rsidR="009102BF" w:rsidRPr="008823A3" w:rsidRDefault="007C724F" w:rsidP="00392B8C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3A3">
              <w:rPr>
                <w:rFonts w:ascii="Arial" w:hAnsi="Arial" w:cs="Arial"/>
                <w:sz w:val="20"/>
                <w:szCs w:val="20"/>
              </w:rPr>
              <w:t>Cobro</w:t>
            </w:r>
            <w:r w:rsidR="00BA26D5">
              <w:rPr>
                <w:rFonts w:ascii="Arial" w:hAnsi="Arial" w:cs="Arial"/>
                <w:sz w:val="20"/>
                <w:szCs w:val="20"/>
              </w:rPr>
              <w:t xml:space="preserve"> de los costos </w:t>
            </w:r>
            <w:r w:rsidR="002B17CF">
              <w:rPr>
                <w:rFonts w:ascii="Arial" w:hAnsi="Arial" w:cs="Arial"/>
                <w:sz w:val="20"/>
                <w:szCs w:val="20"/>
              </w:rPr>
              <w:t xml:space="preserve">básicos </w:t>
            </w:r>
            <w:r w:rsidR="002B17CF" w:rsidRPr="008823A3">
              <w:rPr>
                <w:rFonts w:ascii="Arial" w:hAnsi="Arial" w:cs="Arial"/>
                <w:sz w:val="20"/>
                <w:szCs w:val="20"/>
              </w:rPr>
              <w:t>de</w:t>
            </w:r>
            <w:r w:rsidR="00BA26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17CF">
              <w:rPr>
                <w:rFonts w:ascii="Arial" w:hAnsi="Arial" w:cs="Arial"/>
                <w:sz w:val="20"/>
                <w:szCs w:val="20"/>
              </w:rPr>
              <w:t xml:space="preserve">los </w:t>
            </w:r>
            <w:r w:rsidR="002B17CF" w:rsidRPr="008823A3">
              <w:rPr>
                <w:rFonts w:ascii="Arial" w:hAnsi="Arial" w:cs="Arial"/>
                <w:sz w:val="20"/>
                <w:szCs w:val="20"/>
              </w:rPr>
              <w:t>derechos</w:t>
            </w:r>
            <w:r w:rsidRPr="008823A3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BA26D5">
              <w:rPr>
                <w:rFonts w:ascii="Arial" w:hAnsi="Arial" w:cs="Arial"/>
                <w:sz w:val="20"/>
                <w:szCs w:val="20"/>
              </w:rPr>
              <w:t>ara</w:t>
            </w:r>
            <w:r w:rsidR="003461F0">
              <w:rPr>
                <w:rFonts w:ascii="Arial" w:hAnsi="Arial" w:cs="Arial"/>
                <w:sz w:val="20"/>
                <w:szCs w:val="20"/>
              </w:rPr>
              <w:t xml:space="preserve"> brindar este servicio de evaluación</w:t>
            </w:r>
            <w:r w:rsidR="004A53B8">
              <w:rPr>
                <w:rFonts w:ascii="Arial" w:hAnsi="Arial" w:cs="Arial"/>
                <w:sz w:val="20"/>
                <w:szCs w:val="20"/>
              </w:rPr>
              <w:t xml:space="preserve"> en medidas de seguridad</w:t>
            </w:r>
            <w:r w:rsidR="003461F0">
              <w:rPr>
                <w:rFonts w:ascii="Arial" w:hAnsi="Arial" w:cs="Arial"/>
                <w:sz w:val="20"/>
                <w:szCs w:val="20"/>
              </w:rPr>
              <w:t xml:space="preserve"> en materia de protección civil.</w:t>
            </w:r>
          </w:p>
        </w:tc>
      </w:tr>
      <w:tr w:rsidR="006D646F" w14:paraId="3E66F5E3" w14:textId="77777777" w:rsidTr="00996441">
        <w:trPr>
          <w:trHeight w:val="1550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10DE4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Tasa o tarifa: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B6C97" w14:textId="77777777" w:rsidR="004A53B8" w:rsidRDefault="004A53B8"/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155"/>
            </w:tblGrid>
            <w:tr w:rsidR="006D646F" w:rsidRPr="008823A3" w14:paraId="6FD81425" w14:textId="77777777" w:rsidTr="00626AED">
              <w:trPr>
                <w:trHeight w:val="559"/>
              </w:trPr>
              <w:tc>
                <w:tcPr>
                  <w:tcW w:w="4849" w:type="pct"/>
                  <w:vAlign w:val="bottom"/>
                </w:tcPr>
                <w:p w14:paraId="0A7C2B77" w14:textId="77777777" w:rsidR="003461F0" w:rsidRDefault="003461F0" w:rsidP="003461F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XII. Evaluación de simulacros con expedición </w:t>
                  </w:r>
                </w:p>
                <w:p w14:paraId="589C2934" w14:textId="77777777" w:rsidR="003461F0" w:rsidRPr="00996441" w:rsidRDefault="003461F0" w:rsidP="003461F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de constancia                                                             $155.22</w:t>
                  </w:r>
                </w:p>
                <w:p w14:paraId="79E599D6" w14:textId="77777777" w:rsidR="003461F0" w:rsidRPr="00996441" w:rsidRDefault="003461F0" w:rsidP="003461F0">
                  <w:pPr>
                    <w:spacing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6441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Pr="00996441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996441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   </w:t>
                  </w:r>
                </w:p>
                <w:p w14:paraId="784BA0CC" w14:textId="77777777" w:rsidR="003461F0" w:rsidRPr="00996441" w:rsidRDefault="003461F0" w:rsidP="003461F0">
                  <w:pPr>
                    <w:spacing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6441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                                  </w:t>
                  </w:r>
                </w:p>
                <w:p w14:paraId="4C5ED5A5" w14:textId="0BB68760" w:rsidR="009102BF" w:rsidRPr="00996441" w:rsidRDefault="009102BF" w:rsidP="00DA473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MX"/>
                    </w:rPr>
                  </w:pPr>
                </w:p>
              </w:tc>
              <w:tc>
                <w:tcPr>
                  <w:tcW w:w="151" w:type="pct"/>
                  <w:noWrap/>
                  <w:vAlign w:val="bottom"/>
                </w:tcPr>
                <w:p w14:paraId="6D36F168" w14:textId="77777777" w:rsidR="009102BF" w:rsidRPr="00996441" w:rsidRDefault="009102BF" w:rsidP="005521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</w:tr>
            <w:tr w:rsidR="006D646F" w:rsidRPr="008823A3" w14:paraId="67B20C22" w14:textId="77777777" w:rsidTr="00626AED">
              <w:trPr>
                <w:trHeight w:val="258"/>
              </w:trPr>
              <w:tc>
                <w:tcPr>
                  <w:tcW w:w="4849" w:type="pct"/>
                  <w:vAlign w:val="bottom"/>
                </w:tcPr>
                <w:p w14:paraId="4F89C8E6" w14:textId="77777777" w:rsidR="009102BF" w:rsidRPr="008823A3" w:rsidRDefault="009102BF" w:rsidP="00626AED">
                  <w:pPr>
                    <w:spacing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51" w:type="pct"/>
                  <w:noWrap/>
                  <w:vAlign w:val="bottom"/>
                </w:tcPr>
                <w:p w14:paraId="73ED0A53" w14:textId="77777777" w:rsidR="009102BF" w:rsidRPr="008823A3" w:rsidRDefault="009102BF" w:rsidP="00626AE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</w:tc>
            </w:tr>
            <w:tr w:rsidR="006D646F" w:rsidRPr="008823A3" w14:paraId="4E41AE8C" w14:textId="77777777" w:rsidTr="00066F29">
              <w:trPr>
                <w:trHeight w:val="80"/>
              </w:trPr>
              <w:tc>
                <w:tcPr>
                  <w:tcW w:w="4849" w:type="pct"/>
                  <w:vAlign w:val="bottom"/>
                </w:tcPr>
                <w:p w14:paraId="34886977" w14:textId="77777777" w:rsidR="009102BF" w:rsidRPr="008823A3" w:rsidRDefault="009102BF" w:rsidP="00626AED">
                  <w:pPr>
                    <w:spacing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51" w:type="pct"/>
                  <w:noWrap/>
                  <w:vAlign w:val="bottom"/>
                </w:tcPr>
                <w:p w14:paraId="7042D065" w14:textId="77777777" w:rsidR="009102BF" w:rsidRPr="008823A3" w:rsidRDefault="009102BF" w:rsidP="00626AE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</w:tc>
            </w:tr>
          </w:tbl>
          <w:p w14:paraId="48D21470" w14:textId="77777777" w:rsidR="009102BF" w:rsidRPr="008823A3" w:rsidRDefault="009102BF" w:rsidP="008823A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46F" w14:paraId="249017CF" w14:textId="77777777" w:rsidTr="00315FD7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3E035" w14:textId="77777777" w:rsidR="009102BF" w:rsidRDefault="009102BF" w:rsidP="00CE33E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estudio para medir el</w:t>
            </w:r>
          </w:p>
          <w:p w14:paraId="3CED0375" w14:textId="77777777" w:rsidR="009102BF" w:rsidRDefault="009102BF" w:rsidP="00CE33E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Impacto recaudatorio esperado: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3EFA" w14:textId="13D713F7" w:rsidR="006D3472" w:rsidRDefault="00535EF6" w:rsidP="008823A3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Base de datos de los servicios</w:t>
            </w:r>
            <w:r w:rsidR="005942C2">
              <w:rPr>
                <w:rFonts w:ascii="Arial" w:hAnsi="Arial" w:cs="Arial"/>
                <w:sz w:val="20"/>
                <w:szCs w:val="20"/>
              </w:rPr>
              <w:t xml:space="preserve"> más </w:t>
            </w:r>
            <w:r w:rsidR="009F1764">
              <w:rPr>
                <w:rFonts w:ascii="Arial" w:hAnsi="Arial" w:cs="Arial"/>
                <w:sz w:val="20"/>
                <w:szCs w:val="20"/>
              </w:rPr>
              <w:t>recurrentes prestados</w:t>
            </w:r>
            <w:r>
              <w:rPr>
                <w:rFonts w:ascii="Arial" w:hAnsi="Arial" w:cs="Arial"/>
                <w:sz w:val="20"/>
                <w:szCs w:val="20"/>
              </w:rPr>
              <w:t xml:space="preserve"> por esta </w:t>
            </w:r>
            <w:r w:rsidR="006D3472">
              <w:rPr>
                <w:rFonts w:ascii="Arial" w:hAnsi="Arial" w:cs="Arial"/>
                <w:sz w:val="20"/>
                <w:szCs w:val="20"/>
              </w:rPr>
              <w:t>Dirección</w:t>
            </w:r>
            <w:r w:rsidR="00AE25A6">
              <w:rPr>
                <w:rFonts w:ascii="Arial" w:hAnsi="Arial" w:cs="Arial"/>
                <w:sz w:val="20"/>
                <w:szCs w:val="20"/>
              </w:rPr>
              <w:t>,</w:t>
            </w:r>
            <w:r w:rsidR="006D3472">
              <w:rPr>
                <w:rFonts w:ascii="Arial" w:hAnsi="Arial" w:cs="Arial"/>
                <w:sz w:val="20"/>
                <w:szCs w:val="20"/>
              </w:rPr>
              <w:t xml:space="preserve"> generada</w:t>
            </w:r>
            <w:r>
              <w:rPr>
                <w:rFonts w:ascii="Arial" w:hAnsi="Arial" w:cs="Arial"/>
                <w:sz w:val="20"/>
                <w:szCs w:val="20"/>
              </w:rPr>
              <w:t xml:space="preserve"> en los dos últimos</w:t>
            </w:r>
            <w:r w:rsidR="00B54EC6">
              <w:rPr>
                <w:rFonts w:ascii="Arial" w:hAnsi="Arial" w:cs="Arial"/>
                <w:sz w:val="20"/>
                <w:szCs w:val="20"/>
              </w:rPr>
              <w:t xml:space="preserve"> años.</w:t>
            </w:r>
            <w:r w:rsidR="006D34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35A7EC" w14:textId="77777777" w:rsidR="006D3472" w:rsidRDefault="006D3472" w:rsidP="008823A3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434A90" w14:textId="0DD6F071" w:rsidR="009102BF" w:rsidRPr="008823A3" w:rsidRDefault="006D3472" w:rsidP="00441DFA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 una proyección de recaudación anual</w:t>
            </w:r>
            <w:r w:rsidR="00CC6BBD">
              <w:rPr>
                <w:rFonts w:ascii="Arial" w:hAnsi="Arial" w:cs="Arial"/>
                <w:sz w:val="20"/>
                <w:szCs w:val="20"/>
              </w:rPr>
              <w:t xml:space="preserve"> de $</w:t>
            </w:r>
            <w:r w:rsidR="004C730F">
              <w:rPr>
                <w:rFonts w:ascii="Arial" w:hAnsi="Arial" w:cs="Arial"/>
                <w:sz w:val="20"/>
                <w:szCs w:val="20"/>
              </w:rPr>
              <w:t>18,626.40</w:t>
            </w:r>
            <w:r w:rsidR="00441DFA">
              <w:rPr>
                <w:rFonts w:ascii="Arial" w:hAnsi="Arial" w:cs="Arial"/>
                <w:sz w:val="20"/>
                <w:szCs w:val="20"/>
              </w:rPr>
              <w:t>; basada</w:t>
            </w:r>
            <w:r w:rsidR="00CC6BBD">
              <w:rPr>
                <w:rFonts w:ascii="Arial" w:hAnsi="Arial" w:cs="Arial"/>
                <w:sz w:val="20"/>
                <w:szCs w:val="20"/>
              </w:rPr>
              <w:t xml:space="preserve"> en </w:t>
            </w:r>
            <w:r w:rsidR="00441DFA">
              <w:rPr>
                <w:rFonts w:ascii="Arial" w:hAnsi="Arial" w:cs="Arial"/>
                <w:sz w:val="20"/>
                <w:szCs w:val="20"/>
              </w:rPr>
              <w:t>las estadísticas</w:t>
            </w:r>
            <w:r w:rsidR="00CC6BBD">
              <w:rPr>
                <w:rFonts w:ascii="Arial" w:hAnsi="Arial" w:cs="Arial"/>
                <w:sz w:val="20"/>
                <w:szCs w:val="20"/>
              </w:rPr>
              <w:t xml:space="preserve"> arrojadas </w:t>
            </w:r>
            <w:r w:rsidR="00441DFA">
              <w:rPr>
                <w:rFonts w:ascii="Arial" w:hAnsi="Arial" w:cs="Arial"/>
                <w:sz w:val="20"/>
                <w:szCs w:val="20"/>
              </w:rPr>
              <w:t>durante los</w:t>
            </w:r>
            <w:r w:rsidR="00CC6B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1DFA">
              <w:rPr>
                <w:rFonts w:ascii="Arial" w:hAnsi="Arial" w:cs="Arial"/>
                <w:sz w:val="20"/>
                <w:szCs w:val="20"/>
              </w:rPr>
              <w:t>dos</w:t>
            </w:r>
            <w:r w:rsidR="00CC6BBD">
              <w:rPr>
                <w:rFonts w:ascii="Arial" w:hAnsi="Arial" w:cs="Arial"/>
                <w:sz w:val="20"/>
                <w:szCs w:val="20"/>
              </w:rPr>
              <w:t xml:space="preserve"> últimos </w:t>
            </w:r>
            <w:r w:rsidR="00441DFA">
              <w:rPr>
                <w:rFonts w:ascii="Arial" w:hAnsi="Arial" w:cs="Arial"/>
                <w:sz w:val="20"/>
                <w:szCs w:val="20"/>
              </w:rPr>
              <w:t xml:space="preserve">años sobre la </w:t>
            </w:r>
            <w:r w:rsidR="001A606F">
              <w:rPr>
                <w:rFonts w:ascii="Arial" w:hAnsi="Arial" w:cs="Arial"/>
                <w:sz w:val="20"/>
                <w:szCs w:val="20"/>
              </w:rPr>
              <w:t>prestación de</w:t>
            </w:r>
            <w:r>
              <w:rPr>
                <w:rFonts w:ascii="Arial" w:hAnsi="Arial" w:cs="Arial"/>
                <w:sz w:val="20"/>
                <w:szCs w:val="20"/>
              </w:rPr>
              <w:t xml:space="preserve"> est</w:t>
            </w:r>
            <w:r w:rsidR="00A74146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6BBD">
              <w:rPr>
                <w:rFonts w:ascii="Arial" w:hAnsi="Arial" w:cs="Arial"/>
                <w:sz w:val="20"/>
                <w:szCs w:val="20"/>
              </w:rPr>
              <w:t>servicio</w:t>
            </w:r>
            <w:r w:rsidR="00441DFA">
              <w:rPr>
                <w:rFonts w:ascii="Arial" w:hAnsi="Arial" w:cs="Arial"/>
                <w:sz w:val="20"/>
                <w:szCs w:val="20"/>
              </w:rPr>
              <w:t xml:space="preserve"> a través de solicitud</w:t>
            </w:r>
            <w:r w:rsidR="00C036BA">
              <w:rPr>
                <w:rFonts w:ascii="Arial" w:hAnsi="Arial" w:cs="Arial"/>
                <w:sz w:val="20"/>
                <w:szCs w:val="20"/>
              </w:rPr>
              <w:t>es</w:t>
            </w:r>
            <w:r w:rsidR="00441DFA">
              <w:rPr>
                <w:rFonts w:ascii="Arial" w:hAnsi="Arial" w:cs="Arial"/>
                <w:sz w:val="20"/>
                <w:szCs w:val="20"/>
              </w:rPr>
              <w:t xml:space="preserve"> de particulares.</w:t>
            </w:r>
          </w:p>
        </w:tc>
      </w:tr>
      <w:tr w:rsidR="009102BF" w14:paraId="379238B8" w14:textId="77777777" w:rsidTr="00315FD7"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E1B18" w14:textId="0BC04251" w:rsidR="009102BF" w:rsidRPr="008823A3" w:rsidRDefault="009102BF" w:rsidP="004A53B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23A3">
              <w:rPr>
                <w:rFonts w:ascii="Arial" w:hAnsi="Arial" w:cs="Arial"/>
                <w:b/>
                <w:sz w:val="20"/>
                <w:szCs w:val="20"/>
              </w:rPr>
              <w:t>Elementos y alcances de la contribución:</w:t>
            </w:r>
          </w:p>
        </w:tc>
      </w:tr>
      <w:tr w:rsidR="006D646F" w14:paraId="66F0438A" w14:textId="77777777" w:rsidTr="00315FD7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6ABE1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Descripción de la proporcionalidad en relación a la capacidad contributiva del contribuyente: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CA0D" w14:textId="60030F7C" w:rsidR="00656D8A" w:rsidRPr="008823A3" w:rsidRDefault="00332389" w:rsidP="008823A3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nuevo cobro</w:t>
            </w:r>
            <w:r w:rsidR="00DA4730">
              <w:rPr>
                <w:rFonts w:ascii="Arial" w:hAnsi="Arial" w:cs="Arial"/>
                <w:sz w:val="20"/>
                <w:szCs w:val="20"/>
              </w:rPr>
              <w:t xml:space="preserve"> para la </w:t>
            </w:r>
            <w:r w:rsidR="007F2770">
              <w:rPr>
                <w:rFonts w:ascii="Arial" w:hAnsi="Arial" w:cs="Arial"/>
                <w:sz w:val="20"/>
                <w:szCs w:val="20"/>
              </w:rPr>
              <w:t>evaluación de</w:t>
            </w:r>
            <w:r w:rsidR="004C730F">
              <w:rPr>
                <w:rFonts w:ascii="Arial" w:hAnsi="Arial" w:cs="Arial"/>
                <w:sz w:val="20"/>
                <w:szCs w:val="20"/>
              </w:rPr>
              <w:t xml:space="preserve"> simulacros con expedición de constancia</w:t>
            </w:r>
            <w:r w:rsidR="00DA47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730F">
              <w:rPr>
                <w:rFonts w:ascii="Arial" w:hAnsi="Arial" w:cs="Arial"/>
                <w:sz w:val="20"/>
                <w:szCs w:val="20"/>
              </w:rPr>
              <w:t xml:space="preserve">para </w:t>
            </w:r>
            <w:r w:rsidR="007F2770">
              <w:rPr>
                <w:rFonts w:ascii="Arial" w:hAnsi="Arial" w:cs="Arial"/>
                <w:sz w:val="20"/>
                <w:szCs w:val="20"/>
              </w:rPr>
              <w:t>instituciones particulares</w:t>
            </w:r>
            <w:r w:rsidR="00A25C34">
              <w:rPr>
                <w:rFonts w:ascii="Arial" w:hAnsi="Arial" w:cs="Arial"/>
                <w:sz w:val="20"/>
                <w:szCs w:val="20"/>
              </w:rPr>
              <w:t>,</w:t>
            </w:r>
            <w:r w:rsidR="00A741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02BF" w:rsidRPr="008823A3">
              <w:rPr>
                <w:rFonts w:ascii="Arial" w:hAnsi="Arial" w:cs="Arial"/>
                <w:sz w:val="20"/>
                <w:szCs w:val="20"/>
              </w:rPr>
              <w:t>no representa un impacto</w:t>
            </w:r>
            <w:r w:rsidR="001A606F">
              <w:rPr>
                <w:rFonts w:ascii="Arial" w:hAnsi="Arial" w:cs="Arial"/>
                <w:sz w:val="20"/>
                <w:szCs w:val="20"/>
              </w:rPr>
              <w:t xml:space="preserve"> desme</w:t>
            </w:r>
            <w:r w:rsidR="00A74146">
              <w:rPr>
                <w:rFonts w:ascii="Arial" w:hAnsi="Arial" w:cs="Arial"/>
                <w:sz w:val="20"/>
                <w:szCs w:val="20"/>
              </w:rPr>
              <w:t>dido con respecto a la</w:t>
            </w:r>
            <w:r w:rsidR="001A60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4146">
              <w:rPr>
                <w:rFonts w:ascii="Arial" w:hAnsi="Arial" w:cs="Arial"/>
                <w:sz w:val="20"/>
                <w:szCs w:val="20"/>
              </w:rPr>
              <w:t>c</w:t>
            </w:r>
            <w:r w:rsidR="008D16B7">
              <w:rPr>
                <w:rFonts w:ascii="Arial" w:hAnsi="Arial" w:cs="Arial"/>
                <w:sz w:val="20"/>
                <w:szCs w:val="20"/>
              </w:rPr>
              <w:t>apacidad contributiva de</w:t>
            </w:r>
            <w:r w:rsidR="00A74146">
              <w:rPr>
                <w:rFonts w:ascii="Arial" w:hAnsi="Arial" w:cs="Arial"/>
                <w:sz w:val="20"/>
                <w:szCs w:val="20"/>
              </w:rPr>
              <w:t xml:space="preserve"> los</w:t>
            </w:r>
            <w:r w:rsidR="008D16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5C34">
              <w:rPr>
                <w:rFonts w:ascii="Arial" w:hAnsi="Arial" w:cs="Arial"/>
                <w:sz w:val="20"/>
                <w:szCs w:val="20"/>
              </w:rPr>
              <w:t>usuarios, ya que,</w:t>
            </w:r>
            <w:r w:rsidR="008D16B7">
              <w:rPr>
                <w:rFonts w:ascii="Arial" w:hAnsi="Arial" w:cs="Arial"/>
                <w:sz w:val="20"/>
                <w:szCs w:val="20"/>
              </w:rPr>
              <w:t xml:space="preserve"> la  </w:t>
            </w:r>
            <w:r w:rsidR="009A09BB" w:rsidRPr="008823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2A6E" w:rsidRPr="008823A3">
              <w:rPr>
                <w:rFonts w:ascii="Arial" w:hAnsi="Arial" w:cs="Arial"/>
                <w:sz w:val="20"/>
                <w:szCs w:val="20"/>
              </w:rPr>
              <w:t>proporcionalidad y racionalidad en el pago de</w:t>
            </w:r>
            <w:r w:rsidR="009A09BB" w:rsidRPr="008823A3">
              <w:rPr>
                <w:rFonts w:ascii="Arial" w:hAnsi="Arial" w:cs="Arial"/>
                <w:sz w:val="20"/>
                <w:szCs w:val="20"/>
              </w:rPr>
              <w:t>l derecho</w:t>
            </w:r>
            <w:r w:rsidR="005A2A6E" w:rsidRPr="008823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36F7">
              <w:rPr>
                <w:rFonts w:ascii="Arial" w:hAnsi="Arial" w:cs="Arial"/>
                <w:sz w:val="20"/>
                <w:szCs w:val="20"/>
              </w:rPr>
              <w:lastRenderedPageBreak/>
              <w:t xml:space="preserve">solo </w:t>
            </w:r>
            <w:r w:rsidR="00AC61D1">
              <w:rPr>
                <w:rFonts w:ascii="Arial" w:hAnsi="Arial" w:cs="Arial"/>
                <w:sz w:val="20"/>
                <w:szCs w:val="20"/>
              </w:rPr>
              <w:t>se recupera</w:t>
            </w:r>
            <w:r w:rsidR="000A36F7">
              <w:rPr>
                <w:rFonts w:ascii="Arial" w:hAnsi="Arial" w:cs="Arial"/>
                <w:sz w:val="20"/>
                <w:szCs w:val="20"/>
              </w:rPr>
              <w:t xml:space="preserve"> el </w:t>
            </w:r>
            <w:r w:rsidR="007F2770">
              <w:rPr>
                <w:rFonts w:ascii="Arial" w:hAnsi="Arial" w:cs="Arial"/>
                <w:sz w:val="20"/>
                <w:szCs w:val="20"/>
              </w:rPr>
              <w:t>costo básico</w:t>
            </w:r>
            <w:r w:rsidR="002F4AB8">
              <w:rPr>
                <w:rFonts w:ascii="Arial" w:hAnsi="Arial" w:cs="Arial"/>
                <w:sz w:val="20"/>
                <w:szCs w:val="20"/>
              </w:rPr>
              <w:t xml:space="preserve"> generado para </w:t>
            </w:r>
            <w:r w:rsidR="00A25C34">
              <w:rPr>
                <w:rFonts w:ascii="Arial" w:hAnsi="Arial" w:cs="Arial"/>
                <w:sz w:val="20"/>
                <w:szCs w:val="20"/>
              </w:rPr>
              <w:t>brindar este servicio.</w:t>
            </w:r>
          </w:p>
        </w:tc>
      </w:tr>
      <w:tr w:rsidR="006D646F" w14:paraId="39665D30" w14:textId="77777777" w:rsidTr="00315FD7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BF7C6" w14:textId="783C8D88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Descripción de la equidad en el cobro:</w:t>
            </w:r>
            <w:r w:rsidR="00CC6BB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3D53" w14:textId="3A2251E6" w:rsidR="009102BF" w:rsidRPr="008823A3" w:rsidRDefault="009102BF" w:rsidP="008823A3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3A3">
              <w:rPr>
                <w:rFonts w:ascii="Arial" w:hAnsi="Arial" w:cs="Arial"/>
                <w:sz w:val="20"/>
                <w:szCs w:val="20"/>
              </w:rPr>
              <w:t>La base de cobro,</w:t>
            </w:r>
            <w:r w:rsidR="00B377E1" w:rsidRPr="008823A3">
              <w:rPr>
                <w:rFonts w:ascii="Arial" w:hAnsi="Arial" w:cs="Arial"/>
                <w:sz w:val="20"/>
                <w:szCs w:val="20"/>
              </w:rPr>
              <w:t xml:space="preserve"> es una cuota fija</w:t>
            </w:r>
            <w:r w:rsidR="00AC61D1">
              <w:rPr>
                <w:rFonts w:ascii="Arial" w:hAnsi="Arial" w:cs="Arial"/>
                <w:sz w:val="20"/>
                <w:szCs w:val="20"/>
              </w:rPr>
              <w:t xml:space="preserve"> anual</w:t>
            </w:r>
            <w:r w:rsidR="004F4C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112E">
              <w:rPr>
                <w:rFonts w:ascii="Arial" w:hAnsi="Arial" w:cs="Arial"/>
                <w:sz w:val="20"/>
                <w:szCs w:val="20"/>
              </w:rPr>
              <w:t xml:space="preserve">que </w:t>
            </w:r>
            <w:r w:rsidR="002D4626" w:rsidRPr="008823A3">
              <w:rPr>
                <w:rFonts w:ascii="Arial" w:hAnsi="Arial" w:cs="Arial"/>
                <w:sz w:val="20"/>
                <w:szCs w:val="20"/>
              </w:rPr>
              <w:t>mantiene</w:t>
            </w:r>
            <w:r w:rsidR="00B377E1" w:rsidRPr="008823A3">
              <w:rPr>
                <w:rFonts w:ascii="Arial" w:hAnsi="Arial" w:cs="Arial"/>
                <w:sz w:val="20"/>
                <w:szCs w:val="20"/>
              </w:rPr>
              <w:t xml:space="preserve"> la proporcionalidad y racionalidad en el cobro del derecho generado</w:t>
            </w:r>
            <w:r w:rsidR="001D112E">
              <w:rPr>
                <w:rFonts w:ascii="Arial" w:hAnsi="Arial" w:cs="Arial"/>
                <w:sz w:val="20"/>
                <w:szCs w:val="20"/>
              </w:rPr>
              <w:t xml:space="preserve"> por representar </w:t>
            </w:r>
            <w:r w:rsidR="00461635">
              <w:rPr>
                <w:rFonts w:ascii="Arial" w:hAnsi="Arial" w:cs="Arial"/>
                <w:sz w:val="20"/>
                <w:szCs w:val="20"/>
              </w:rPr>
              <w:t xml:space="preserve">una </w:t>
            </w:r>
            <w:r w:rsidR="00461635" w:rsidRPr="008823A3">
              <w:rPr>
                <w:rFonts w:ascii="Arial" w:hAnsi="Arial" w:cs="Arial"/>
                <w:sz w:val="20"/>
                <w:szCs w:val="20"/>
              </w:rPr>
              <w:t>cobertura</w:t>
            </w:r>
            <w:r w:rsidR="00461635">
              <w:rPr>
                <w:rFonts w:ascii="Arial" w:hAnsi="Arial" w:cs="Arial"/>
                <w:sz w:val="20"/>
                <w:szCs w:val="20"/>
              </w:rPr>
              <w:t xml:space="preserve"> significativa</w:t>
            </w:r>
            <w:r w:rsidR="002D4626" w:rsidRPr="008823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04B4" w:rsidRPr="008823A3">
              <w:rPr>
                <w:rFonts w:ascii="Arial" w:hAnsi="Arial" w:cs="Arial"/>
                <w:sz w:val="20"/>
                <w:szCs w:val="20"/>
              </w:rPr>
              <w:t>del costo</w:t>
            </w:r>
            <w:r w:rsidR="00066F29">
              <w:rPr>
                <w:rFonts w:ascii="Arial" w:hAnsi="Arial" w:cs="Arial"/>
                <w:sz w:val="20"/>
                <w:szCs w:val="20"/>
              </w:rPr>
              <w:t xml:space="preserve"> para poder </w:t>
            </w:r>
            <w:r w:rsidR="00A25C34">
              <w:rPr>
                <w:rFonts w:ascii="Arial" w:hAnsi="Arial" w:cs="Arial"/>
                <w:sz w:val="20"/>
                <w:szCs w:val="20"/>
              </w:rPr>
              <w:t>brindar el servicio</w:t>
            </w:r>
            <w:r w:rsidR="00AC61D1">
              <w:rPr>
                <w:rFonts w:ascii="Arial" w:hAnsi="Arial" w:cs="Arial"/>
                <w:sz w:val="20"/>
                <w:szCs w:val="20"/>
              </w:rPr>
              <w:t>;</w:t>
            </w:r>
            <w:r w:rsidR="001D112E">
              <w:rPr>
                <w:rFonts w:ascii="Arial" w:hAnsi="Arial" w:cs="Arial"/>
                <w:sz w:val="20"/>
                <w:szCs w:val="20"/>
              </w:rPr>
              <w:t xml:space="preserve"> mientras que, el contribuyente asegura </w:t>
            </w:r>
            <w:r w:rsidR="004C730F">
              <w:rPr>
                <w:rFonts w:ascii="Arial" w:hAnsi="Arial" w:cs="Arial"/>
                <w:sz w:val="20"/>
                <w:szCs w:val="20"/>
              </w:rPr>
              <w:t>la</w:t>
            </w:r>
            <w:r w:rsidR="004C730F"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r w:rsidR="004C730F" w:rsidRPr="00A71BD6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adopción correcta de </w:t>
            </w:r>
            <w:r w:rsidR="00A71BD6" w:rsidRPr="00A71BD6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las</w:t>
            </w:r>
            <w:r w:rsidR="004C730F" w:rsidRPr="00A71BD6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rutinas de acción más convenientes para afrontar una situ</w:t>
            </w:r>
            <w:r w:rsidR="00A71BD6" w:rsidRPr="00A71BD6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a</w:t>
            </w:r>
            <w:r w:rsidR="004C730F" w:rsidRPr="00A71BD6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ción de emergencia.</w:t>
            </w:r>
          </w:p>
        </w:tc>
      </w:tr>
      <w:tr w:rsidR="006D646F" w14:paraId="0D215693" w14:textId="77777777" w:rsidTr="00315FD7">
        <w:trPr>
          <w:trHeight w:val="755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D195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Impacto social:</w:t>
            </w:r>
          </w:p>
          <w:p w14:paraId="71A1FE1E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6E9EBF8E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5B2791C3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180FC454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2FEB7FDE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27B6" w14:textId="7075EE79" w:rsidR="009102BF" w:rsidRPr="00A71BD6" w:rsidRDefault="00A71BD6" w:rsidP="008823A3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1BD6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El condicionamiento o ensayo constante permite que cuando realmente ocurra una emergencia se pueda enfrentar más asertivamente, a través de acciones rápidas, seguras y precisas y así lograr salvar </w:t>
            </w:r>
            <w:r w:rsidR="007F277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la</w:t>
            </w:r>
            <w:r w:rsidRPr="00A71BD6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vida</w:t>
            </w:r>
            <w:r w:rsidR="007F277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o vidas.</w:t>
            </w:r>
          </w:p>
        </w:tc>
      </w:tr>
      <w:tr w:rsidR="006D646F" w14:paraId="3A137D99" w14:textId="77777777" w:rsidTr="00315FD7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F6C7" w14:textId="77777777" w:rsidR="009102BF" w:rsidRDefault="009102BF" w:rsidP="00515B9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Estrategia en la gestión recaudatoria: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2508" w14:textId="6AE3BE3D" w:rsidR="009102BF" w:rsidRPr="008823A3" w:rsidRDefault="005A2A6E" w:rsidP="008823A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823A3"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="00683AA6">
              <w:rPr>
                <w:rFonts w:ascii="Arial" w:hAnsi="Arial" w:cs="Arial"/>
                <w:sz w:val="20"/>
                <w:szCs w:val="20"/>
              </w:rPr>
              <w:t xml:space="preserve">establecerá </w:t>
            </w:r>
            <w:r w:rsidR="00683AA6" w:rsidRPr="008823A3">
              <w:rPr>
                <w:rFonts w:ascii="Arial" w:hAnsi="Arial" w:cs="Arial"/>
                <w:sz w:val="20"/>
                <w:szCs w:val="20"/>
              </w:rPr>
              <w:t>al</w:t>
            </w:r>
            <w:r w:rsidRPr="008823A3">
              <w:rPr>
                <w:rFonts w:ascii="Arial" w:hAnsi="Arial" w:cs="Arial"/>
                <w:sz w:val="20"/>
                <w:szCs w:val="20"/>
              </w:rPr>
              <w:t xml:space="preserve"> momento </w:t>
            </w:r>
            <w:r w:rsidR="008A017D" w:rsidRPr="008823A3">
              <w:rPr>
                <w:rFonts w:ascii="Arial" w:hAnsi="Arial" w:cs="Arial"/>
                <w:sz w:val="20"/>
                <w:szCs w:val="20"/>
              </w:rPr>
              <w:t xml:space="preserve">de la gestión o </w:t>
            </w:r>
            <w:r w:rsidR="000162EA" w:rsidRPr="008823A3">
              <w:rPr>
                <w:rFonts w:ascii="Arial" w:hAnsi="Arial" w:cs="Arial"/>
                <w:sz w:val="20"/>
                <w:szCs w:val="20"/>
              </w:rPr>
              <w:t>solicitud del</w:t>
            </w:r>
            <w:r w:rsidR="008A017D" w:rsidRPr="008823A3">
              <w:rPr>
                <w:rFonts w:ascii="Arial" w:hAnsi="Arial" w:cs="Arial"/>
                <w:sz w:val="20"/>
                <w:szCs w:val="20"/>
              </w:rPr>
              <w:t xml:space="preserve"> trámite ante esta Dirección.</w:t>
            </w:r>
          </w:p>
        </w:tc>
      </w:tr>
      <w:tr w:rsidR="006D646F" w14:paraId="57C53405" w14:textId="77777777" w:rsidTr="00315FD7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1A52" w14:textId="77777777" w:rsidR="009102BF" w:rsidRDefault="009102BF" w:rsidP="00515B9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de la contribución:</w:t>
            </w:r>
          </w:p>
          <w:p w14:paraId="02EC7710" w14:textId="77777777" w:rsidR="009102BF" w:rsidRDefault="009102BF" w:rsidP="00515B9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47ED" w14:textId="77777777" w:rsidR="009102BF" w:rsidRPr="007C724F" w:rsidRDefault="009102B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724F">
              <w:rPr>
                <w:rFonts w:ascii="Arial" w:hAnsi="Arial" w:cs="Arial"/>
                <w:sz w:val="20"/>
                <w:szCs w:val="20"/>
              </w:rPr>
              <w:t xml:space="preserve">La recaudación forma parte del gasto corriente con que cuenta el municipio para la prestación de los servicios públicos a su cargo. </w:t>
            </w:r>
          </w:p>
          <w:p w14:paraId="53F421E5" w14:textId="77777777" w:rsidR="009102BF" w:rsidRPr="007C724F" w:rsidRDefault="009102B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46F" w14:paraId="1F419B88" w14:textId="77777777" w:rsidTr="00315FD7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77E3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Argumentación:</w:t>
            </w:r>
          </w:p>
          <w:p w14:paraId="402911A9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02976434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04EBD046" w14:textId="77777777" w:rsidR="009102BF" w:rsidRDefault="009102BF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*Explicación pormenorizada del porque los estudios realizados demuestran la intención de la iniciativa, y como es que estos se encuentran apegados al marco jurídico.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B571" w14:textId="77777777" w:rsidR="009102BF" w:rsidRPr="007C724F" w:rsidRDefault="009102BF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724F">
              <w:rPr>
                <w:rFonts w:ascii="Arial" w:hAnsi="Arial" w:cs="Arial"/>
                <w:b/>
                <w:sz w:val="20"/>
                <w:szCs w:val="20"/>
              </w:rPr>
              <w:t>Antecedentes:</w:t>
            </w:r>
          </w:p>
          <w:p w14:paraId="07BAA0BD" w14:textId="6F6CD1F6" w:rsidR="009102BF" w:rsidRPr="007C724F" w:rsidRDefault="00526B18" w:rsidP="002D462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724F">
              <w:rPr>
                <w:rFonts w:ascii="Arial" w:hAnsi="Arial" w:cs="Arial"/>
                <w:sz w:val="20"/>
                <w:szCs w:val="20"/>
              </w:rPr>
              <w:t>La</w:t>
            </w:r>
            <w:r w:rsidR="00B11C75">
              <w:rPr>
                <w:rFonts w:ascii="Arial" w:hAnsi="Arial" w:cs="Arial"/>
                <w:sz w:val="20"/>
                <w:szCs w:val="20"/>
              </w:rPr>
              <w:t xml:space="preserve"> cuota de </w:t>
            </w:r>
            <w:r w:rsidR="00E443C7">
              <w:rPr>
                <w:rFonts w:ascii="Arial" w:hAnsi="Arial" w:cs="Arial"/>
                <w:sz w:val="20"/>
                <w:szCs w:val="20"/>
              </w:rPr>
              <w:t xml:space="preserve">este nuevo cobro, </w:t>
            </w:r>
            <w:r w:rsidR="00EB4349">
              <w:rPr>
                <w:rFonts w:ascii="Arial" w:hAnsi="Arial" w:cs="Arial"/>
                <w:sz w:val="20"/>
                <w:szCs w:val="20"/>
              </w:rPr>
              <w:t>contribuyen al sostenimiento del gasto público</w:t>
            </w:r>
            <w:r w:rsidR="008A3EBD">
              <w:rPr>
                <w:rFonts w:ascii="Arial" w:hAnsi="Arial" w:cs="Arial"/>
                <w:sz w:val="20"/>
                <w:szCs w:val="20"/>
              </w:rPr>
              <w:t xml:space="preserve"> municipal</w:t>
            </w:r>
            <w:r w:rsidR="00B11C75">
              <w:rPr>
                <w:rFonts w:ascii="Arial" w:hAnsi="Arial" w:cs="Arial"/>
                <w:sz w:val="20"/>
                <w:szCs w:val="20"/>
              </w:rPr>
              <w:t>,</w:t>
            </w:r>
            <w:r w:rsidR="00EB4349">
              <w:rPr>
                <w:rFonts w:ascii="Arial" w:hAnsi="Arial" w:cs="Arial"/>
                <w:sz w:val="20"/>
                <w:szCs w:val="20"/>
              </w:rPr>
              <w:t xml:space="preserve"> en función</w:t>
            </w:r>
            <w:r w:rsidR="008A3EBD">
              <w:rPr>
                <w:rFonts w:ascii="Arial" w:hAnsi="Arial" w:cs="Arial"/>
                <w:sz w:val="20"/>
                <w:szCs w:val="20"/>
              </w:rPr>
              <w:t xml:space="preserve"> de la recuperación </w:t>
            </w:r>
            <w:r w:rsidR="00460143">
              <w:rPr>
                <w:rFonts w:ascii="Arial" w:hAnsi="Arial" w:cs="Arial"/>
                <w:sz w:val="20"/>
                <w:szCs w:val="20"/>
              </w:rPr>
              <w:t>significativa</w:t>
            </w:r>
            <w:r w:rsidR="00EB4349">
              <w:rPr>
                <w:rFonts w:ascii="Arial" w:hAnsi="Arial" w:cs="Arial"/>
                <w:sz w:val="20"/>
                <w:szCs w:val="20"/>
              </w:rPr>
              <w:t xml:space="preserve"> del costo que se genera al brindar </w:t>
            </w:r>
            <w:r w:rsidR="004C35A5">
              <w:rPr>
                <w:rFonts w:ascii="Arial" w:hAnsi="Arial" w:cs="Arial"/>
                <w:sz w:val="20"/>
                <w:szCs w:val="20"/>
              </w:rPr>
              <w:t>est</w:t>
            </w:r>
            <w:r w:rsidR="00E443C7">
              <w:rPr>
                <w:rFonts w:ascii="Arial" w:hAnsi="Arial" w:cs="Arial"/>
                <w:sz w:val="20"/>
                <w:szCs w:val="20"/>
              </w:rPr>
              <w:t>e servicio.</w:t>
            </w:r>
            <w:r w:rsidR="00B757ED" w:rsidRPr="007C72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B51E0C" w14:textId="77777777" w:rsidR="00B16574" w:rsidRPr="007C724F" w:rsidRDefault="00B16574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4E6C5B" w14:textId="77777777" w:rsidR="009102BF" w:rsidRPr="007C724F" w:rsidRDefault="009102BF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724F">
              <w:rPr>
                <w:rFonts w:ascii="Arial" w:hAnsi="Arial" w:cs="Arial"/>
                <w:b/>
                <w:sz w:val="20"/>
                <w:szCs w:val="20"/>
              </w:rPr>
              <w:t>Consideraciones que soportan el cambio:</w:t>
            </w:r>
          </w:p>
          <w:p w14:paraId="039FA92B" w14:textId="1A8DC11F" w:rsidR="001C737B" w:rsidRDefault="009102BF" w:rsidP="00392B8C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724F">
              <w:rPr>
                <w:rFonts w:ascii="Arial" w:hAnsi="Arial" w:cs="Arial"/>
                <w:sz w:val="20"/>
                <w:szCs w:val="20"/>
              </w:rPr>
              <w:t>Se realizó un</w:t>
            </w:r>
            <w:r w:rsidR="004C35A5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B33AF9">
              <w:rPr>
                <w:rFonts w:ascii="Arial" w:hAnsi="Arial" w:cs="Arial"/>
                <w:sz w:val="20"/>
                <w:szCs w:val="20"/>
              </w:rPr>
              <w:t xml:space="preserve">evaluación </w:t>
            </w:r>
            <w:r w:rsidR="00B33AF9" w:rsidRPr="007C724F">
              <w:rPr>
                <w:rFonts w:ascii="Arial" w:hAnsi="Arial" w:cs="Arial"/>
                <w:sz w:val="20"/>
                <w:szCs w:val="20"/>
              </w:rPr>
              <w:t>sobre</w:t>
            </w:r>
            <w:r w:rsidR="004C35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3AF9">
              <w:rPr>
                <w:rFonts w:ascii="Arial" w:hAnsi="Arial" w:cs="Arial"/>
                <w:sz w:val="20"/>
                <w:szCs w:val="20"/>
              </w:rPr>
              <w:t>la cuota</w:t>
            </w:r>
            <w:r w:rsidR="004C35A5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D32BE8">
              <w:rPr>
                <w:rFonts w:ascii="Arial" w:hAnsi="Arial" w:cs="Arial"/>
                <w:sz w:val="20"/>
                <w:szCs w:val="20"/>
              </w:rPr>
              <w:t>l</w:t>
            </w:r>
            <w:r w:rsidR="004C35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2BE8">
              <w:rPr>
                <w:rFonts w:ascii="Arial" w:hAnsi="Arial" w:cs="Arial"/>
                <w:sz w:val="20"/>
                <w:szCs w:val="20"/>
              </w:rPr>
              <w:t xml:space="preserve">nuevo cobro del  </w:t>
            </w:r>
            <w:r w:rsidR="004C35A5">
              <w:rPr>
                <w:rFonts w:ascii="Arial" w:hAnsi="Arial" w:cs="Arial"/>
                <w:sz w:val="20"/>
                <w:szCs w:val="20"/>
              </w:rPr>
              <w:t xml:space="preserve"> derecho, determina</w:t>
            </w:r>
            <w:r w:rsidR="00D32BE8">
              <w:rPr>
                <w:rFonts w:ascii="Arial" w:hAnsi="Arial" w:cs="Arial"/>
                <w:sz w:val="20"/>
                <w:szCs w:val="20"/>
              </w:rPr>
              <w:t>n</w:t>
            </w:r>
            <w:r w:rsidR="004C35A5">
              <w:rPr>
                <w:rFonts w:ascii="Arial" w:hAnsi="Arial" w:cs="Arial"/>
                <w:sz w:val="20"/>
                <w:szCs w:val="20"/>
              </w:rPr>
              <w:t>do que</w:t>
            </w:r>
            <w:r w:rsidR="00B33AF9">
              <w:rPr>
                <w:rFonts w:ascii="Arial" w:hAnsi="Arial" w:cs="Arial"/>
                <w:sz w:val="20"/>
                <w:szCs w:val="20"/>
              </w:rPr>
              <w:t>,</w:t>
            </w:r>
            <w:r w:rsidR="004C35A5">
              <w:rPr>
                <w:rFonts w:ascii="Arial" w:hAnsi="Arial" w:cs="Arial"/>
                <w:sz w:val="20"/>
                <w:szCs w:val="20"/>
              </w:rPr>
              <w:t xml:space="preserve"> el impacto económico</w:t>
            </w:r>
            <w:r w:rsidR="00B33AF9">
              <w:rPr>
                <w:rFonts w:ascii="Arial" w:hAnsi="Arial" w:cs="Arial"/>
                <w:sz w:val="20"/>
                <w:szCs w:val="20"/>
              </w:rPr>
              <w:t xml:space="preserve"> para </w:t>
            </w:r>
            <w:r w:rsidR="00822C96">
              <w:rPr>
                <w:rFonts w:ascii="Arial" w:hAnsi="Arial" w:cs="Arial"/>
                <w:sz w:val="20"/>
                <w:szCs w:val="20"/>
              </w:rPr>
              <w:t xml:space="preserve">el contribuyente </w:t>
            </w:r>
            <w:r w:rsidR="00822C96" w:rsidRPr="007C724F">
              <w:rPr>
                <w:rFonts w:ascii="Arial" w:hAnsi="Arial" w:cs="Arial"/>
                <w:sz w:val="20"/>
                <w:szCs w:val="20"/>
              </w:rPr>
              <w:t>es</w:t>
            </w:r>
            <w:r w:rsidR="00B16574" w:rsidRPr="007C724F">
              <w:rPr>
                <w:rFonts w:ascii="Arial" w:hAnsi="Arial" w:cs="Arial"/>
                <w:sz w:val="20"/>
                <w:szCs w:val="20"/>
              </w:rPr>
              <w:t xml:space="preserve"> mínimo</w:t>
            </w:r>
            <w:r w:rsidR="00B33AF9">
              <w:rPr>
                <w:rFonts w:ascii="Arial" w:hAnsi="Arial" w:cs="Arial"/>
                <w:sz w:val="20"/>
                <w:szCs w:val="20"/>
              </w:rPr>
              <w:t xml:space="preserve">, ya que, es proporcional al costo que se genera al realizar </w:t>
            </w:r>
            <w:r w:rsidR="00E443C7"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="006D641F">
              <w:rPr>
                <w:rFonts w:ascii="Arial" w:hAnsi="Arial" w:cs="Arial"/>
                <w:sz w:val="20"/>
                <w:szCs w:val="20"/>
              </w:rPr>
              <w:t>servicio</w:t>
            </w:r>
            <w:r w:rsidR="00B33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2C96"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="00481D8E">
              <w:rPr>
                <w:rFonts w:ascii="Arial" w:hAnsi="Arial" w:cs="Arial"/>
                <w:sz w:val="20"/>
                <w:szCs w:val="20"/>
              </w:rPr>
              <w:t>mención; para</w:t>
            </w:r>
            <w:r w:rsidR="00B33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641F">
              <w:rPr>
                <w:rFonts w:ascii="Arial" w:hAnsi="Arial" w:cs="Arial"/>
                <w:sz w:val="20"/>
                <w:szCs w:val="20"/>
              </w:rPr>
              <w:t>seguridad</w:t>
            </w:r>
            <w:r w:rsidR="00B33AF9">
              <w:rPr>
                <w:rFonts w:ascii="Arial" w:hAnsi="Arial" w:cs="Arial"/>
                <w:sz w:val="20"/>
                <w:szCs w:val="20"/>
              </w:rPr>
              <w:t xml:space="preserve"> del </w:t>
            </w:r>
            <w:r w:rsidR="001C737B" w:rsidRPr="007C724F">
              <w:rPr>
                <w:rFonts w:ascii="Arial" w:hAnsi="Arial" w:cs="Arial"/>
                <w:sz w:val="20"/>
                <w:szCs w:val="20"/>
              </w:rPr>
              <w:t>contribuyente</w:t>
            </w:r>
            <w:r w:rsidR="00481D8E">
              <w:rPr>
                <w:rFonts w:ascii="Arial" w:hAnsi="Arial" w:cs="Arial"/>
                <w:sz w:val="20"/>
                <w:szCs w:val="20"/>
              </w:rPr>
              <w:t>,</w:t>
            </w:r>
            <w:r w:rsidR="00B33AF9">
              <w:rPr>
                <w:rFonts w:ascii="Arial" w:hAnsi="Arial" w:cs="Arial"/>
                <w:sz w:val="20"/>
                <w:szCs w:val="20"/>
              </w:rPr>
              <w:t xml:space="preserve"> mejorando </w:t>
            </w:r>
            <w:r w:rsidR="00B33AF9" w:rsidRPr="007C724F">
              <w:rPr>
                <w:rFonts w:ascii="Arial" w:hAnsi="Arial" w:cs="Arial"/>
                <w:sz w:val="20"/>
                <w:szCs w:val="20"/>
              </w:rPr>
              <w:t>la</w:t>
            </w:r>
            <w:r w:rsidR="001C737B" w:rsidRPr="007C724F">
              <w:rPr>
                <w:rFonts w:ascii="Arial" w:hAnsi="Arial" w:cs="Arial"/>
                <w:sz w:val="20"/>
                <w:szCs w:val="20"/>
              </w:rPr>
              <w:t xml:space="preserve"> recaudación.</w:t>
            </w:r>
            <w:r w:rsidR="00632D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95AA6C" w14:textId="77777777" w:rsidR="009102BF" w:rsidRPr="007C724F" w:rsidRDefault="009102BF" w:rsidP="00392B8C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28BD00" w14:textId="77777777" w:rsidR="003F72FA" w:rsidRDefault="009102BF" w:rsidP="00D37EFE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724F">
              <w:rPr>
                <w:rFonts w:ascii="Arial" w:hAnsi="Arial" w:cs="Arial"/>
                <w:b/>
                <w:sz w:val="20"/>
                <w:szCs w:val="20"/>
              </w:rPr>
              <w:t>Propuesta de modificación:</w:t>
            </w:r>
          </w:p>
          <w:p w14:paraId="08EE20FC" w14:textId="742C0AC2" w:rsidR="00B16574" w:rsidRPr="007C724F" w:rsidRDefault="003F72FA" w:rsidP="00392B8C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Se proponen </w:t>
            </w:r>
            <w:r w:rsidR="00D37EFE">
              <w:rPr>
                <w:rFonts w:ascii="Arial" w:hAnsi="Arial" w:cs="Arial"/>
                <w:bCs/>
                <w:sz w:val="20"/>
                <w:szCs w:val="20"/>
              </w:rPr>
              <w:t>nuevo cobro</w:t>
            </w:r>
            <w:r w:rsidR="00B16574" w:rsidRPr="007C724F">
              <w:rPr>
                <w:rFonts w:ascii="Arial" w:hAnsi="Arial" w:cs="Arial"/>
                <w:sz w:val="20"/>
                <w:szCs w:val="20"/>
              </w:rPr>
              <w:t>,</w:t>
            </w:r>
            <w:r w:rsidR="00D32B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1D8E">
              <w:rPr>
                <w:rFonts w:ascii="Arial" w:hAnsi="Arial" w:cs="Arial"/>
                <w:sz w:val="20"/>
                <w:szCs w:val="20"/>
              </w:rPr>
              <w:t>que está</w:t>
            </w:r>
            <w:r w:rsidR="00D37EFE">
              <w:rPr>
                <w:rFonts w:ascii="Arial" w:hAnsi="Arial" w:cs="Arial"/>
                <w:sz w:val="20"/>
                <w:szCs w:val="20"/>
              </w:rPr>
              <w:t xml:space="preserve"> en un</w:t>
            </w:r>
            <w:r w:rsidR="00387D1D" w:rsidRPr="007C724F">
              <w:rPr>
                <w:rFonts w:ascii="Arial" w:hAnsi="Arial" w:cs="Arial"/>
                <w:sz w:val="20"/>
                <w:szCs w:val="20"/>
              </w:rPr>
              <w:t xml:space="preserve"> rango de valor de la capacidad contributiva,</w:t>
            </w:r>
            <w:r w:rsidR="004A774B">
              <w:rPr>
                <w:rFonts w:ascii="Arial" w:hAnsi="Arial" w:cs="Arial"/>
                <w:sz w:val="20"/>
                <w:szCs w:val="20"/>
              </w:rPr>
              <w:t xml:space="preserve"> factor</w:t>
            </w:r>
            <w:r w:rsidR="009B7327">
              <w:rPr>
                <w:rFonts w:ascii="Arial" w:hAnsi="Arial" w:cs="Arial"/>
                <w:sz w:val="20"/>
                <w:szCs w:val="20"/>
              </w:rPr>
              <w:t xml:space="preserve"> que </w:t>
            </w:r>
            <w:r w:rsidR="00D846C0">
              <w:rPr>
                <w:rFonts w:ascii="Arial" w:hAnsi="Arial" w:cs="Arial"/>
                <w:sz w:val="20"/>
                <w:szCs w:val="20"/>
              </w:rPr>
              <w:t>contribuye</w:t>
            </w:r>
            <w:r w:rsidR="009B73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6139">
              <w:rPr>
                <w:rFonts w:ascii="Arial" w:hAnsi="Arial" w:cs="Arial"/>
                <w:sz w:val="20"/>
                <w:szCs w:val="20"/>
              </w:rPr>
              <w:t>directamente para</w:t>
            </w:r>
            <w:r w:rsidR="004A774B">
              <w:rPr>
                <w:rFonts w:ascii="Arial" w:hAnsi="Arial" w:cs="Arial"/>
                <w:sz w:val="20"/>
                <w:szCs w:val="20"/>
              </w:rPr>
              <w:t xml:space="preserve"> su </w:t>
            </w:r>
            <w:r w:rsidR="00B03F7C">
              <w:rPr>
                <w:rFonts w:ascii="Arial" w:hAnsi="Arial" w:cs="Arial"/>
                <w:sz w:val="20"/>
                <w:szCs w:val="20"/>
              </w:rPr>
              <w:t>prestación</w:t>
            </w:r>
            <w:r w:rsidR="007E7278">
              <w:rPr>
                <w:rFonts w:ascii="Arial" w:hAnsi="Arial" w:cs="Arial"/>
                <w:sz w:val="20"/>
                <w:szCs w:val="20"/>
              </w:rPr>
              <w:t xml:space="preserve"> en</w:t>
            </w:r>
            <w:r w:rsidR="009B73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7327" w:rsidRPr="007C724F">
              <w:rPr>
                <w:rFonts w:ascii="Arial" w:hAnsi="Arial" w:cs="Arial"/>
                <w:sz w:val="20"/>
                <w:szCs w:val="20"/>
              </w:rPr>
              <w:t>tipo</w:t>
            </w:r>
            <w:r w:rsidR="00387D1D" w:rsidRPr="007C724F">
              <w:rPr>
                <w:rFonts w:ascii="Arial" w:hAnsi="Arial" w:cs="Arial"/>
                <w:sz w:val="20"/>
                <w:szCs w:val="20"/>
              </w:rPr>
              <w:t xml:space="preserve"> y tiempo de </w:t>
            </w:r>
            <w:r w:rsidR="00481D8E">
              <w:rPr>
                <w:rFonts w:ascii="Arial" w:hAnsi="Arial" w:cs="Arial"/>
                <w:sz w:val="20"/>
                <w:szCs w:val="20"/>
              </w:rPr>
              <w:t xml:space="preserve">prestación </w:t>
            </w:r>
            <w:r w:rsidR="00481D8E" w:rsidRPr="007C724F">
              <w:rPr>
                <w:rFonts w:ascii="Arial" w:hAnsi="Arial" w:cs="Arial"/>
                <w:sz w:val="20"/>
                <w:szCs w:val="20"/>
              </w:rPr>
              <w:t>del</w:t>
            </w:r>
            <w:r w:rsidR="00387D1D" w:rsidRPr="007C724F">
              <w:rPr>
                <w:rFonts w:ascii="Arial" w:hAnsi="Arial" w:cs="Arial"/>
                <w:sz w:val="20"/>
                <w:szCs w:val="20"/>
              </w:rPr>
              <w:t xml:space="preserve">   trámite, de acuerdo a la tabla de cálculo que se anexa.</w:t>
            </w:r>
          </w:p>
          <w:p w14:paraId="32742795" w14:textId="77777777" w:rsidR="009102BF" w:rsidRPr="007C724F" w:rsidRDefault="009102B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525895" w14:textId="77777777" w:rsidR="006D641F" w:rsidRDefault="009102BF" w:rsidP="006D641F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724F">
              <w:rPr>
                <w:rFonts w:ascii="Arial" w:hAnsi="Arial" w:cs="Arial"/>
                <w:b/>
                <w:sz w:val="20"/>
                <w:szCs w:val="20"/>
              </w:rPr>
              <w:t>Conclusiones</w:t>
            </w:r>
          </w:p>
          <w:p w14:paraId="263D786C" w14:textId="47F95100" w:rsidR="009102BF" w:rsidRPr="006D641F" w:rsidRDefault="006D641F" w:rsidP="007E7278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El </w:t>
            </w:r>
            <w:r w:rsidR="007E7278">
              <w:rPr>
                <w:rFonts w:ascii="Arial" w:hAnsi="Arial" w:cs="Arial"/>
                <w:sz w:val="20"/>
                <w:szCs w:val="20"/>
              </w:rPr>
              <w:t xml:space="preserve">nuevo cobro es </w:t>
            </w:r>
            <w:r w:rsidR="00817C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876">
              <w:rPr>
                <w:rFonts w:ascii="Arial" w:hAnsi="Arial" w:cs="Arial"/>
                <w:sz w:val="20"/>
                <w:szCs w:val="20"/>
              </w:rPr>
              <w:t>simbólicos</w:t>
            </w:r>
            <w:r w:rsidR="009102BF" w:rsidRPr="007C724F">
              <w:rPr>
                <w:rFonts w:ascii="Arial" w:hAnsi="Arial" w:cs="Arial"/>
                <w:sz w:val="20"/>
                <w:szCs w:val="20"/>
              </w:rPr>
              <w:t xml:space="preserve"> para los </w:t>
            </w:r>
            <w:r w:rsidR="001C737B" w:rsidRPr="007C724F">
              <w:rPr>
                <w:rFonts w:ascii="Arial" w:hAnsi="Arial" w:cs="Arial"/>
                <w:sz w:val="20"/>
                <w:szCs w:val="20"/>
              </w:rPr>
              <w:t>contribuyentes</w:t>
            </w:r>
            <w:r w:rsidR="009102BF" w:rsidRPr="007C72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737B" w:rsidRPr="007C724F">
              <w:rPr>
                <w:rFonts w:ascii="Arial" w:hAnsi="Arial" w:cs="Arial"/>
                <w:sz w:val="20"/>
                <w:szCs w:val="20"/>
              </w:rPr>
              <w:t xml:space="preserve">que </w:t>
            </w:r>
            <w:r w:rsidR="00014876">
              <w:rPr>
                <w:rFonts w:ascii="Arial" w:hAnsi="Arial" w:cs="Arial"/>
                <w:sz w:val="20"/>
                <w:szCs w:val="20"/>
              </w:rPr>
              <w:t xml:space="preserve">requieren </w:t>
            </w:r>
            <w:r w:rsidR="007E7278">
              <w:rPr>
                <w:rFonts w:ascii="Arial" w:hAnsi="Arial" w:cs="Arial"/>
                <w:sz w:val="20"/>
                <w:szCs w:val="20"/>
              </w:rPr>
              <w:t xml:space="preserve">servicios </w:t>
            </w:r>
            <w:r w:rsidR="004D434D" w:rsidRPr="007C72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25EB">
              <w:rPr>
                <w:rFonts w:ascii="Arial" w:hAnsi="Arial" w:cs="Arial"/>
                <w:sz w:val="20"/>
                <w:szCs w:val="20"/>
              </w:rPr>
              <w:t xml:space="preserve">específicos en  medidas de seguridad en materia de Protección Civil, </w:t>
            </w:r>
            <w:r w:rsidR="00187D2B">
              <w:rPr>
                <w:rFonts w:ascii="Arial" w:hAnsi="Arial" w:cs="Arial"/>
                <w:sz w:val="20"/>
                <w:szCs w:val="20"/>
              </w:rPr>
              <w:t>ya que</w:t>
            </w:r>
            <w:r w:rsidR="009425E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64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25EB">
              <w:rPr>
                <w:rFonts w:ascii="Arial" w:hAnsi="Arial" w:cs="Arial"/>
                <w:sz w:val="20"/>
                <w:szCs w:val="20"/>
              </w:rPr>
              <w:t xml:space="preserve">a corto y mediano plazo </w:t>
            </w:r>
            <w:r w:rsidR="00187D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44FB">
              <w:rPr>
                <w:rFonts w:ascii="Arial" w:hAnsi="Arial" w:cs="Arial"/>
                <w:sz w:val="20"/>
                <w:szCs w:val="20"/>
              </w:rPr>
              <w:t>figura un</w:t>
            </w:r>
            <w:r w:rsidR="00187D2B">
              <w:rPr>
                <w:rFonts w:ascii="Arial" w:hAnsi="Arial" w:cs="Arial"/>
                <w:sz w:val="20"/>
                <w:szCs w:val="20"/>
              </w:rPr>
              <w:t xml:space="preserve"> beneficio</w:t>
            </w:r>
            <w:r w:rsidR="009425EB">
              <w:rPr>
                <w:rFonts w:ascii="Arial" w:hAnsi="Arial" w:cs="Arial"/>
                <w:sz w:val="20"/>
                <w:szCs w:val="20"/>
              </w:rPr>
              <w:t xml:space="preserve">, pues, </w:t>
            </w:r>
            <w:r w:rsidR="00187D2B" w:rsidRPr="00187D2B">
              <w:rPr>
                <w:rFonts w:ascii="Arial" w:hAnsi="Arial" w:cs="Arial"/>
                <w:sz w:val="20"/>
                <w:szCs w:val="20"/>
              </w:rPr>
              <w:t xml:space="preserve"> previene y prepara a la</w:t>
            </w:r>
            <w:r w:rsidR="009425EB">
              <w:rPr>
                <w:rFonts w:ascii="Arial" w:hAnsi="Arial" w:cs="Arial"/>
                <w:sz w:val="20"/>
                <w:szCs w:val="20"/>
              </w:rPr>
              <w:t>s personas u</w:t>
            </w:r>
            <w:r w:rsidR="00187D2B" w:rsidRPr="00187D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733E" w:rsidRPr="00187D2B">
              <w:rPr>
                <w:rFonts w:ascii="Arial" w:hAnsi="Arial" w:cs="Arial"/>
                <w:sz w:val="20"/>
                <w:szCs w:val="20"/>
              </w:rPr>
              <w:t>organizacion</w:t>
            </w:r>
            <w:r w:rsidR="00F0733E">
              <w:rPr>
                <w:rFonts w:ascii="Arial" w:hAnsi="Arial" w:cs="Arial"/>
                <w:sz w:val="20"/>
                <w:szCs w:val="20"/>
              </w:rPr>
              <w:t>es</w:t>
            </w:r>
            <w:r w:rsidR="009425E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073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7D2B" w:rsidRPr="00187D2B">
              <w:rPr>
                <w:rFonts w:ascii="Arial" w:hAnsi="Arial" w:cs="Arial"/>
                <w:sz w:val="20"/>
                <w:szCs w:val="20"/>
              </w:rPr>
              <w:t>para responder efectivamente ante la presencia de</w:t>
            </w:r>
            <w:r w:rsidR="00E274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7D2B" w:rsidRPr="00187D2B">
              <w:rPr>
                <w:rFonts w:ascii="Arial" w:hAnsi="Arial" w:cs="Arial"/>
                <w:sz w:val="20"/>
                <w:szCs w:val="20"/>
              </w:rPr>
              <w:t xml:space="preserve"> riesgos que pudieran generar </w:t>
            </w:r>
            <w:r w:rsidR="00F0733E">
              <w:rPr>
                <w:rFonts w:ascii="Arial" w:hAnsi="Arial" w:cs="Arial"/>
                <w:sz w:val="20"/>
                <w:szCs w:val="20"/>
              </w:rPr>
              <w:t xml:space="preserve"> una </w:t>
            </w:r>
            <w:r w:rsidR="00187D2B" w:rsidRPr="00187D2B">
              <w:rPr>
                <w:rFonts w:ascii="Arial" w:hAnsi="Arial" w:cs="Arial"/>
                <w:sz w:val="20"/>
                <w:szCs w:val="20"/>
              </w:rPr>
              <w:t xml:space="preserve"> emergenci</w:t>
            </w:r>
            <w:r w:rsidR="00F0733E">
              <w:rPr>
                <w:rFonts w:ascii="Arial" w:hAnsi="Arial" w:cs="Arial"/>
                <w:sz w:val="20"/>
                <w:szCs w:val="20"/>
              </w:rPr>
              <w:t xml:space="preserve">a o un </w:t>
            </w:r>
            <w:r w:rsidR="003644FB" w:rsidRPr="00187D2B">
              <w:rPr>
                <w:rFonts w:ascii="Arial" w:hAnsi="Arial" w:cs="Arial"/>
                <w:sz w:val="20"/>
                <w:szCs w:val="20"/>
              </w:rPr>
              <w:t>desastre</w:t>
            </w:r>
            <w:r w:rsidR="00086347">
              <w:rPr>
                <w:rFonts w:ascii="Arial" w:hAnsi="Arial" w:cs="Arial"/>
                <w:sz w:val="20"/>
                <w:szCs w:val="20"/>
              </w:rPr>
              <w:t>; lo cual,</w:t>
            </w:r>
            <w:r w:rsidR="00F0733E">
              <w:rPr>
                <w:rFonts w:ascii="Arial" w:hAnsi="Arial" w:cs="Arial"/>
                <w:sz w:val="20"/>
                <w:szCs w:val="20"/>
              </w:rPr>
              <w:t xml:space="preserve"> de no atender</w:t>
            </w:r>
            <w:r w:rsidR="0010670A">
              <w:rPr>
                <w:rFonts w:ascii="Arial" w:hAnsi="Arial" w:cs="Arial"/>
                <w:sz w:val="20"/>
                <w:szCs w:val="20"/>
              </w:rPr>
              <w:t>se</w:t>
            </w:r>
            <w:r w:rsidR="003644FB">
              <w:rPr>
                <w:rFonts w:ascii="Arial" w:hAnsi="Arial" w:cs="Arial"/>
                <w:sz w:val="20"/>
                <w:szCs w:val="20"/>
              </w:rPr>
              <w:t xml:space="preserve"> generaría un costo incalculable material</w:t>
            </w:r>
            <w:r w:rsidR="00086347">
              <w:rPr>
                <w:rFonts w:ascii="Arial" w:hAnsi="Arial" w:cs="Arial"/>
                <w:sz w:val="20"/>
                <w:szCs w:val="20"/>
              </w:rPr>
              <w:t xml:space="preserve"> y humano</w:t>
            </w:r>
            <w:r w:rsidR="0010670A">
              <w:rPr>
                <w:rFonts w:ascii="Arial" w:hAnsi="Arial" w:cs="Arial"/>
                <w:sz w:val="20"/>
                <w:szCs w:val="20"/>
              </w:rPr>
              <w:t>,</w:t>
            </w:r>
            <w:r w:rsidR="00364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6347">
              <w:rPr>
                <w:rFonts w:ascii="Arial" w:hAnsi="Arial" w:cs="Arial"/>
                <w:sz w:val="20"/>
                <w:szCs w:val="20"/>
              </w:rPr>
              <w:t xml:space="preserve">por la falta o desconocimiento de la </w:t>
            </w:r>
            <w:r w:rsidR="0002066E">
              <w:rPr>
                <w:rFonts w:ascii="Arial" w:hAnsi="Arial" w:cs="Arial"/>
                <w:sz w:val="20"/>
                <w:szCs w:val="20"/>
              </w:rPr>
              <w:t>importancia</w:t>
            </w:r>
            <w:r w:rsidR="0010670A">
              <w:rPr>
                <w:rFonts w:ascii="Arial" w:hAnsi="Arial" w:cs="Arial"/>
                <w:sz w:val="20"/>
                <w:szCs w:val="20"/>
              </w:rPr>
              <w:t xml:space="preserve"> de la implementación</w:t>
            </w:r>
            <w:r w:rsidR="0002066E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1067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066E">
              <w:rPr>
                <w:rFonts w:ascii="Arial" w:hAnsi="Arial" w:cs="Arial"/>
                <w:sz w:val="20"/>
                <w:szCs w:val="20"/>
              </w:rPr>
              <w:t xml:space="preserve"> medidas de seguridad en materia de Protección Civil</w:t>
            </w:r>
            <w:r w:rsidR="0010670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</w:tbl>
    <w:p w14:paraId="32F87125" w14:textId="77777777" w:rsidR="009102BF" w:rsidRDefault="009102BF" w:rsidP="009102BF">
      <w:pPr>
        <w:rPr>
          <w:rFonts w:ascii="Arial" w:hAnsi="Arial" w:cs="Arial"/>
          <w:sz w:val="36"/>
          <w:szCs w:val="36"/>
        </w:rPr>
      </w:pPr>
    </w:p>
    <w:p w14:paraId="00196FE3" w14:textId="39B19E3E" w:rsidR="007F5AD1" w:rsidRPr="00C27EBF" w:rsidRDefault="00A83537" w:rsidP="00AC029A">
      <w:pPr>
        <w:ind w:firstLine="708"/>
        <w:rPr>
          <w:rStyle w:val="Referenciasutil"/>
        </w:rPr>
      </w:pPr>
      <w:r>
        <w:rPr>
          <w:rStyle w:val="Referenciasutil"/>
        </w:rPr>
        <w:t xml:space="preserve"> </w:t>
      </w:r>
    </w:p>
    <w:sectPr w:rsidR="007F5AD1" w:rsidRPr="00C27EBF" w:rsidSect="00091010">
      <w:footerReference w:type="default" r:id="rId8"/>
      <w:type w:val="continuous"/>
      <w:pgSz w:w="12240" w:h="15840"/>
      <w:pgMar w:top="19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3C847" w14:textId="77777777" w:rsidR="000F7E54" w:rsidRDefault="000F7E54" w:rsidP="00826AB6">
      <w:pPr>
        <w:spacing w:after="0" w:line="240" w:lineRule="auto"/>
      </w:pPr>
      <w:r>
        <w:separator/>
      </w:r>
    </w:p>
  </w:endnote>
  <w:endnote w:type="continuationSeparator" w:id="0">
    <w:p w14:paraId="6CD45064" w14:textId="77777777" w:rsidR="000F7E54" w:rsidRDefault="000F7E54" w:rsidP="00826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9AEE2" w14:textId="77777777" w:rsidR="00067889" w:rsidRDefault="00067889">
    <w:pPr>
      <w:pStyle w:val="Piedepgina"/>
      <w:jc w:val="right"/>
    </w:pPr>
  </w:p>
  <w:p w14:paraId="2316FF1A" w14:textId="77777777" w:rsidR="00067889" w:rsidRDefault="000678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23F44" w14:textId="77777777" w:rsidR="000F7E54" w:rsidRDefault="000F7E54" w:rsidP="00826AB6">
      <w:pPr>
        <w:spacing w:after="0" w:line="240" w:lineRule="auto"/>
      </w:pPr>
      <w:r>
        <w:separator/>
      </w:r>
    </w:p>
  </w:footnote>
  <w:footnote w:type="continuationSeparator" w:id="0">
    <w:p w14:paraId="67D7DD2B" w14:textId="77777777" w:rsidR="000F7E54" w:rsidRDefault="000F7E54" w:rsidP="00826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13CBC"/>
    <w:multiLevelType w:val="hybridMultilevel"/>
    <w:tmpl w:val="6B00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358AE"/>
    <w:multiLevelType w:val="hybridMultilevel"/>
    <w:tmpl w:val="341C742A"/>
    <w:lvl w:ilvl="0" w:tplc="9828E4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15BAF"/>
    <w:multiLevelType w:val="hybridMultilevel"/>
    <w:tmpl w:val="08B2F9D0"/>
    <w:lvl w:ilvl="0" w:tplc="9828E4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E3D4C"/>
    <w:multiLevelType w:val="hybridMultilevel"/>
    <w:tmpl w:val="3904D92C"/>
    <w:lvl w:ilvl="0" w:tplc="9828E4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34D80"/>
    <w:multiLevelType w:val="hybridMultilevel"/>
    <w:tmpl w:val="F7FACE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023722">
    <w:abstractNumId w:val="4"/>
  </w:num>
  <w:num w:numId="2" w16cid:durableId="61874005">
    <w:abstractNumId w:val="0"/>
  </w:num>
  <w:num w:numId="3" w16cid:durableId="471943830">
    <w:abstractNumId w:val="3"/>
  </w:num>
  <w:num w:numId="4" w16cid:durableId="968049605">
    <w:abstractNumId w:val="2"/>
  </w:num>
  <w:num w:numId="5" w16cid:durableId="1441411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357"/>
    <w:rsid w:val="00005C26"/>
    <w:rsid w:val="00006712"/>
    <w:rsid w:val="00007643"/>
    <w:rsid w:val="00014168"/>
    <w:rsid w:val="00014876"/>
    <w:rsid w:val="00014D07"/>
    <w:rsid w:val="000162EA"/>
    <w:rsid w:val="0001785F"/>
    <w:rsid w:val="0002066E"/>
    <w:rsid w:val="00027509"/>
    <w:rsid w:val="00040AA9"/>
    <w:rsid w:val="00046624"/>
    <w:rsid w:val="00050019"/>
    <w:rsid w:val="00053423"/>
    <w:rsid w:val="00062F03"/>
    <w:rsid w:val="00066F29"/>
    <w:rsid w:val="00067889"/>
    <w:rsid w:val="00071F7F"/>
    <w:rsid w:val="000723E0"/>
    <w:rsid w:val="000742BB"/>
    <w:rsid w:val="000752D7"/>
    <w:rsid w:val="00081F05"/>
    <w:rsid w:val="00085038"/>
    <w:rsid w:val="00086347"/>
    <w:rsid w:val="00091010"/>
    <w:rsid w:val="00091C4E"/>
    <w:rsid w:val="000A084B"/>
    <w:rsid w:val="000A36F7"/>
    <w:rsid w:val="000A3FCE"/>
    <w:rsid w:val="000A7B78"/>
    <w:rsid w:val="000B0258"/>
    <w:rsid w:val="000B727B"/>
    <w:rsid w:val="000D4D94"/>
    <w:rsid w:val="000E3B32"/>
    <w:rsid w:val="000E6F98"/>
    <w:rsid w:val="000F7E54"/>
    <w:rsid w:val="0010670A"/>
    <w:rsid w:val="0011204A"/>
    <w:rsid w:val="001140E1"/>
    <w:rsid w:val="00116544"/>
    <w:rsid w:val="00116764"/>
    <w:rsid w:val="001229B5"/>
    <w:rsid w:val="00127576"/>
    <w:rsid w:val="001532D0"/>
    <w:rsid w:val="001635BE"/>
    <w:rsid w:val="0016760E"/>
    <w:rsid w:val="00187D2B"/>
    <w:rsid w:val="001A0A77"/>
    <w:rsid w:val="001A154F"/>
    <w:rsid w:val="001A1DDA"/>
    <w:rsid w:val="001A24A9"/>
    <w:rsid w:val="001A606F"/>
    <w:rsid w:val="001C737B"/>
    <w:rsid w:val="001D112E"/>
    <w:rsid w:val="001E0130"/>
    <w:rsid w:val="001E0690"/>
    <w:rsid w:val="001E1117"/>
    <w:rsid w:val="001E68D5"/>
    <w:rsid w:val="001E6A73"/>
    <w:rsid w:val="001E76BD"/>
    <w:rsid w:val="00200263"/>
    <w:rsid w:val="00200981"/>
    <w:rsid w:val="00216808"/>
    <w:rsid w:val="00224D4F"/>
    <w:rsid w:val="00235B41"/>
    <w:rsid w:val="00237D2C"/>
    <w:rsid w:val="002648F9"/>
    <w:rsid w:val="00286EBA"/>
    <w:rsid w:val="00293FF8"/>
    <w:rsid w:val="002A285B"/>
    <w:rsid w:val="002A4DAC"/>
    <w:rsid w:val="002B17CF"/>
    <w:rsid w:val="002B2D7A"/>
    <w:rsid w:val="002B4B62"/>
    <w:rsid w:val="002C09FF"/>
    <w:rsid w:val="002C5DE5"/>
    <w:rsid w:val="002C6FC4"/>
    <w:rsid w:val="002D0A9A"/>
    <w:rsid w:val="002D4626"/>
    <w:rsid w:val="002E41E1"/>
    <w:rsid w:val="002E4AA6"/>
    <w:rsid w:val="002F4AB8"/>
    <w:rsid w:val="003013A9"/>
    <w:rsid w:val="003118BE"/>
    <w:rsid w:val="00315FD7"/>
    <w:rsid w:val="0032019E"/>
    <w:rsid w:val="00332389"/>
    <w:rsid w:val="0033577E"/>
    <w:rsid w:val="003461F0"/>
    <w:rsid w:val="00346990"/>
    <w:rsid w:val="00361702"/>
    <w:rsid w:val="00361E23"/>
    <w:rsid w:val="003638E7"/>
    <w:rsid w:val="003644FB"/>
    <w:rsid w:val="0037179E"/>
    <w:rsid w:val="0038694F"/>
    <w:rsid w:val="00386E51"/>
    <w:rsid w:val="00387D1D"/>
    <w:rsid w:val="00391854"/>
    <w:rsid w:val="00392B8C"/>
    <w:rsid w:val="003A13AB"/>
    <w:rsid w:val="003B636D"/>
    <w:rsid w:val="003E6D50"/>
    <w:rsid w:val="003E7C71"/>
    <w:rsid w:val="003F68C8"/>
    <w:rsid w:val="003F72FA"/>
    <w:rsid w:val="003F7646"/>
    <w:rsid w:val="00402299"/>
    <w:rsid w:val="004040EC"/>
    <w:rsid w:val="00411570"/>
    <w:rsid w:val="00416BAD"/>
    <w:rsid w:val="00417625"/>
    <w:rsid w:val="00423045"/>
    <w:rsid w:val="00423B5B"/>
    <w:rsid w:val="00424EFA"/>
    <w:rsid w:val="00426E3D"/>
    <w:rsid w:val="00441DFA"/>
    <w:rsid w:val="00442E3D"/>
    <w:rsid w:val="00444075"/>
    <w:rsid w:val="00453510"/>
    <w:rsid w:val="00456736"/>
    <w:rsid w:val="00460143"/>
    <w:rsid w:val="00461635"/>
    <w:rsid w:val="004667A6"/>
    <w:rsid w:val="00481D8E"/>
    <w:rsid w:val="004907B0"/>
    <w:rsid w:val="00497B19"/>
    <w:rsid w:val="004A53B8"/>
    <w:rsid w:val="004A774B"/>
    <w:rsid w:val="004B02BD"/>
    <w:rsid w:val="004B711E"/>
    <w:rsid w:val="004C2494"/>
    <w:rsid w:val="004C35A5"/>
    <w:rsid w:val="004C583F"/>
    <w:rsid w:val="004C730F"/>
    <w:rsid w:val="004D2AAA"/>
    <w:rsid w:val="004D434D"/>
    <w:rsid w:val="004E4291"/>
    <w:rsid w:val="004E6712"/>
    <w:rsid w:val="004F4C12"/>
    <w:rsid w:val="005026D6"/>
    <w:rsid w:val="0051519F"/>
    <w:rsid w:val="00515B93"/>
    <w:rsid w:val="00521233"/>
    <w:rsid w:val="00525F67"/>
    <w:rsid w:val="00526B18"/>
    <w:rsid w:val="00535EF6"/>
    <w:rsid w:val="0055216A"/>
    <w:rsid w:val="0055497B"/>
    <w:rsid w:val="00560B42"/>
    <w:rsid w:val="00561FE7"/>
    <w:rsid w:val="00563833"/>
    <w:rsid w:val="00564B3E"/>
    <w:rsid w:val="0056593E"/>
    <w:rsid w:val="00574EAE"/>
    <w:rsid w:val="0058689E"/>
    <w:rsid w:val="00593CF1"/>
    <w:rsid w:val="005942C2"/>
    <w:rsid w:val="005A0733"/>
    <w:rsid w:val="005A0D87"/>
    <w:rsid w:val="005A23ED"/>
    <w:rsid w:val="005A288A"/>
    <w:rsid w:val="005A2A6E"/>
    <w:rsid w:val="005A6F17"/>
    <w:rsid w:val="005B45CC"/>
    <w:rsid w:val="005B69F4"/>
    <w:rsid w:val="005C38A7"/>
    <w:rsid w:val="005C6579"/>
    <w:rsid w:val="005C6A30"/>
    <w:rsid w:val="005D06CA"/>
    <w:rsid w:val="005E1FAC"/>
    <w:rsid w:val="005E6DD0"/>
    <w:rsid w:val="005E75BF"/>
    <w:rsid w:val="005F097A"/>
    <w:rsid w:val="005F2A04"/>
    <w:rsid w:val="005F5BCA"/>
    <w:rsid w:val="005F6EF9"/>
    <w:rsid w:val="005F7FA3"/>
    <w:rsid w:val="00602612"/>
    <w:rsid w:val="00606564"/>
    <w:rsid w:val="00606F44"/>
    <w:rsid w:val="006102E0"/>
    <w:rsid w:val="006230AA"/>
    <w:rsid w:val="00625C9D"/>
    <w:rsid w:val="00626AED"/>
    <w:rsid w:val="00632D93"/>
    <w:rsid w:val="00644501"/>
    <w:rsid w:val="0065023F"/>
    <w:rsid w:val="00650DFA"/>
    <w:rsid w:val="00654FF5"/>
    <w:rsid w:val="00656D8A"/>
    <w:rsid w:val="00661D81"/>
    <w:rsid w:val="00667449"/>
    <w:rsid w:val="00677A1F"/>
    <w:rsid w:val="00683AA6"/>
    <w:rsid w:val="006A1695"/>
    <w:rsid w:val="006A20B5"/>
    <w:rsid w:val="006B0A3F"/>
    <w:rsid w:val="006B4D98"/>
    <w:rsid w:val="006B552D"/>
    <w:rsid w:val="006C1592"/>
    <w:rsid w:val="006D3472"/>
    <w:rsid w:val="006D641F"/>
    <w:rsid w:val="006D646F"/>
    <w:rsid w:val="006E1042"/>
    <w:rsid w:val="006E286A"/>
    <w:rsid w:val="006E4E24"/>
    <w:rsid w:val="0070120F"/>
    <w:rsid w:val="007027B6"/>
    <w:rsid w:val="007059F2"/>
    <w:rsid w:val="00710FB1"/>
    <w:rsid w:val="007259BD"/>
    <w:rsid w:val="00734A64"/>
    <w:rsid w:val="00747492"/>
    <w:rsid w:val="00752AEB"/>
    <w:rsid w:val="00753C27"/>
    <w:rsid w:val="00761333"/>
    <w:rsid w:val="00764BBE"/>
    <w:rsid w:val="00770EEC"/>
    <w:rsid w:val="007721AB"/>
    <w:rsid w:val="007759F0"/>
    <w:rsid w:val="00776CB4"/>
    <w:rsid w:val="00786FE7"/>
    <w:rsid w:val="00793203"/>
    <w:rsid w:val="00794965"/>
    <w:rsid w:val="007A1C79"/>
    <w:rsid w:val="007A3210"/>
    <w:rsid w:val="007B1E7D"/>
    <w:rsid w:val="007B2304"/>
    <w:rsid w:val="007B3034"/>
    <w:rsid w:val="007B5242"/>
    <w:rsid w:val="007C157D"/>
    <w:rsid w:val="007C33D7"/>
    <w:rsid w:val="007C724F"/>
    <w:rsid w:val="007D0E96"/>
    <w:rsid w:val="007D32FD"/>
    <w:rsid w:val="007D653E"/>
    <w:rsid w:val="007D70C5"/>
    <w:rsid w:val="007E654F"/>
    <w:rsid w:val="007E7278"/>
    <w:rsid w:val="007F2770"/>
    <w:rsid w:val="007F5AD1"/>
    <w:rsid w:val="00807B30"/>
    <w:rsid w:val="00817CBD"/>
    <w:rsid w:val="00817D79"/>
    <w:rsid w:val="00822C96"/>
    <w:rsid w:val="008265BF"/>
    <w:rsid w:val="00826AB6"/>
    <w:rsid w:val="00831FE1"/>
    <w:rsid w:val="00840EBB"/>
    <w:rsid w:val="0084509A"/>
    <w:rsid w:val="00846349"/>
    <w:rsid w:val="00854A97"/>
    <w:rsid w:val="00855EE7"/>
    <w:rsid w:val="008706F6"/>
    <w:rsid w:val="008729C4"/>
    <w:rsid w:val="00875410"/>
    <w:rsid w:val="00876399"/>
    <w:rsid w:val="008764A0"/>
    <w:rsid w:val="008823A3"/>
    <w:rsid w:val="008823F2"/>
    <w:rsid w:val="008825E5"/>
    <w:rsid w:val="008A017D"/>
    <w:rsid w:val="008A22E2"/>
    <w:rsid w:val="008A304D"/>
    <w:rsid w:val="008A3DFC"/>
    <w:rsid w:val="008A3EBD"/>
    <w:rsid w:val="008B31C2"/>
    <w:rsid w:val="008B4DB4"/>
    <w:rsid w:val="008B5707"/>
    <w:rsid w:val="008C3396"/>
    <w:rsid w:val="008C5929"/>
    <w:rsid w:val="008D16B7"/>
    <w:rsid w:val="008F5D3C"/>
    <w:rsid w:val="00901BE9"/>
    <w:rsid w:val="00905288"/>
    <w:rsid w:val="009102BF"/>
    <w:rsid w:val="00911827"/>
    <w:rsid w:val="00914BE7"/>
    <w:rsid w:val="00917DD5"/>
    <w:rsid w:val="00926F6A"/>
    <w:rsid w:val="009318BB"/>
    <w:rsid w:val="0093492A"/>
    <w:rsid w:val="009425EB"/>
    <w:rsid w:val="0094497C"/>
    <w:rsid w:val="0094721A"/>
    <w:rsid w:val="009524E4"/>
    <w:rsid w:val="0095630F"/>
    <w:rsid w:val="009610DB"/>
    <w:rsid w:val="00962FC4"/>
    <w:rsid w:val="009636DD"/>
    <w:rsid w:val="00963CD6"/>
    <w:rsid w:val="00993EC1"/>
    <w:rsid w:val="00996441"/>
    <w:rsid w:val="009972AE"/>
    <w:rsid w:val="009A09BB"/>
    <w:rsid w:val="009A2D8C"/>
    <w:rsid w:val="009A6A68"/>
    <w:rsid w:val="009B7327"/>
    <w:rsid w:val="009C2B7D"/>
    <w:rsid w:val="009D33FF"/>
    <w:rsid w:val="009E0078"/>
    <w:rsid w:val="009E450A"/>
    <w:rsid w:val="009E5039"/>
    <w:rsid w:val="009F127A"/>
    <w:rsid w:val="009F158F"/>
    <w:rsid w:val="009F1764"/>
    <w:rsid w:val="00A03CCB"/>
    <w:rsid w:val="00A10784"/>
    <w:rsid w:val="00A128B9"/>
    <w:rsid w:val="00A14B6C"/>
    <w:rsid w:val="00A21354"/>
    <w:rsid w:val="00A25C34"/>
    <w:rsid w:val="00A26D71"/>
    <w:rsid w:val="00A36AAF"/>
    <w:rsid w:val="00A41EA4"/>
    <w:rsid w:val="00A46674"/>
    <w:rsid w:val="00A47819"/>
    <w:rsid w:val="00A71BD6"/>
    <w:rsid w:val="00A74146"/>
    <w:rsid w:val="00A81978"/>
    <w:rsid w:val="00A83537"/>
    <w:rsid w:val="00A85525"/>
    <w:rsid w:val="00A85EFE"/>
    <w:rsid w:val="00A97D8A"/>
    <w:rsid w:val="00AA4176"/>
    <w:rsid w:val="00AB3A7E"/>
    <w:rsid w:val="00AB7FCA"/>
    <w:rsid w:val="00AC013B"/>
    <w:rsid w:val="00AC029A"/>
    <w:rsid w:val="00AC61D1"/>
    <w:rsid w:val="00AD7B8E"/>
    <w:rsid w:val="00AD7C11"/>
    <w:rsid w:val="00AE1BA8"/>
    <w:rsid w:val="00AE25A6"/>
    <w:rsid w:val="00AE26D8"/>
    <w:rsid w:val="00AE3BBD"/>
    <w:rsid w:val="00AF279B"/>
    <w:rsid w:val="00AF7C22"/>
    <w:rsid w:val="00B03F7C"/>
    <w:rsid w:val="00B07B15"/>
    <w:rsid w:val="00B11C75"/>
    <w:rsid w:val="00B16574"/>
    <w:rsid w:val="00B231BC"/>
    <w:rsid w:val="00B33AF9"/>
    <w:rsid w:val="00B377E1"/>
    <w:rsid w:val="00B52F1C"/>
    <w:rsid w:val="00B5305E"/>
    <w:rsid w:val="00B54EC6"/>
    <w:rsid w:val="00B674E0"/>
    <w:rsid w:val="00B70A79"/>
    <w:rsid w:val="00B757ED"/>
    <w:rsid w:val="00B81E91"/>
    <w:rsid w:val="00B8347E"/>
    <w:rsid w:val="00B84978"/>
    <w:rsid w:val="00B85611"/>
    <w:rsid w:val="00B92645"/>
    <w:rsid w:val="00B941B4"/>
    <w:rsid w:val="00B9447F"/>
    <w:rsid w:val="00BA26D5"/>
    <w:rsid w:val="00BA57ED"/>
    <w:rsid w:val="00BA79A5"/>
    <w:rsid w:val="00BB5357"/>
    <w:rsid w:val="00BC196A"/>
    <w:rsid w:val="00BC228F"/>
    <w:rsid w:val="00BC388C"/>
    <w:rsid w:val="00BD0411"/>
    <w:rsid w:val="00BD123C"/>
    <w:rsid w:val="00BD188E"/>
    <w:rsid w:val="00BE1952"/>
    <w:rsid w:val="00BE2F10"/>
    <w:rsid w:val="00BF1089"/>
    <w:rsid w:val="00BF1D8F"/>
    <w:rsid w:val="00BF461D"/>
    <w:rsid w:val="00C00115"/>
    <w:rsid w:val="00C036BA"/>
    <w:rsid w:val="00C048B7"/>
    <w:rsid w:val="00C16194"/>
    <w:rsid w:val="00C27EBF"/>
    <w:rsid w:val="00C30B67"/>
    <w:rsid w:val="00C31B79"/>
    <w:rsid w:val="00C340E4"/>
    <w:rsid w:val="00C44E53"/>
    <w:rsid w:val="00C535DD"/>
    <w:rsid w:val="00C56BA2"/>
    <w:rsid w:val="00C63824"/>
    <w:rsid w:val="00C66FE2"/>
    <w:rsid w:val="00C67597"/>
    <w:rsid w:val="00C67C56"/>
    <w:rsid w:val="00C76139"/>
    <w:rsid w:val="00C830ED"/>
    <w:rsid w:val="00C85F04"/>
    <w:rsid w:val="00CB69B6"/>
    <w:rsid w:val="00CC13FE"/>
    <w:rsid w:val="00CC63FC"/>
    <w:rsid w:val="00CC6BBD"/>
    <w:rsid w:val="00CD2020"/>
    <w:rsid w:val="00CD7411"/>
    <w:rsid w:val="00CE33EB"/>
    <w:rsid w:val="00CE3F11"/>
    <w:rsid w:val="00CE7AEC"/>
    <w:rsid w:val="00CF04B4"/>
    <w:rsid w:val="00CF07BA"/>
    <w:rsid w:val="00CF7413"/>
    <w:rsid w:val="00D11E56"/>
    <w:rsid w:val="00D2319B"/>
    <w:rsid w:val="00D23CA6"/>
    <w:rsid w:val="00D30B89"/>
    <w:rsid w:val="00D32BE8"/>
    <w:rsid w:val="00D33570"/>
    <w:rsid w:val="00D35413"/>
    <w:rsid w:val="00D37EFE"/>
    <w:rsid w:val="00D42FDE"/>
    <w:rsid w:val="00D54EE0"/>
    <w:rsid w:val="00D551AB"/>
    <w:rsid w:val="00D5618F"/>
    <w:rsid w:val="00D56381"/>
    <w:rsid w:val="00D60795"/>
    <w:rsid w:val="00D64BCB"/>
    <w:rsid w:val="00D702F5"/>
    <w:rsid w:val="00D75FF1"/>
    <w:rsid w:val="00D76741"/>
    <w:rsid w:val="00D8178B"/>
    <w:rsid w:val="00D846C0"/>
    <w:rsid w:val="00D85581"/>
    <w:rsid w:val="00DA0BD4"/>
    <w:rsid w:val="00DA4730"/>
    <w:rsid w:val="00DA5FAB"/>
    <w:rsid w:val="00DB3029"/>
    <w:rsid w:val="00DC2F65"/>
    <w:rsid w:val="00DD0DCF"/>
    <w:rsid w:val="00DD433F"/>
    <w:rsid w:val="00DD505F"/>
    <w:rsid w:val="00DD7FD9"/>
    <w:rsid w:val="00DE05CD"/>
    <w:rsid w:val="00DE0FFD"/>
    <w:rsid w:val="00DE3011"/>
    <w:rsid w:val="00DE613F"/>
    <w:rsid w:val="00DF6F77"/>
    <w:rsid w:val="00E054F3"/>
    <w:rsid w:val="00E06368"/>
    <w:rsid w:val="00E11883"/>
    <w:rsid w:val="00E274EC"/>
    <w:rsid w:val="00E3289D"/>
    <w:rsid w:val="00E346F8"/>
    <w:rsid w:val="00E42CBC"/>
    <w:rsid w:val="00E443C7"/>
    <w:rsid w:val="00E449A4"/>
    <w:rsid w:val="00E52270"/>
    <w:rsid w:val="00E53FE2"/>
    <w:rsid w:val="00E56533"/>
    <w:rsid w:val="00E728EA"/>
    <w:rsid w:val="00E84DD9"/>
    <w:rsid w:val="00E949FE"/>
    <w:rsid w:val="00E95AA1"/>
    <w:rsid w:val="00EA3E6C"/>
    <w:rsid w:val="00EA4055"/>
    <w:rsid w:val="00EB4349"/>
    <w:rsid w:val="00EB7EC1"/>
    <w:rsid w:val="00EC011E"/>
    <w:rsid w:val="00EC40A7"/>
    <w:rsid w:val="00ED28DF"/>
    <w:rsid w:val="00ED2FFA"/>
    <w:rsid w:val="00ED3C19"/>
    <w:rsid w:val="00ED6ABB"/>
    <w:rsid w:val="00EE1351"/>
    <w:rsid w:val="00EE3361"/>
    <w:rsid w:val="00EE6F27"/>
    <w:rsid w:val="00EF3768"/>
    <w:rsid w:val="00EF7496"/>
    <w:rsid w:val="00F007A6"/>
    <w:rsid w:val="00F00824"/>
    <w:rsid w:val="00F0733E"/>
    <w:rsid w:val="00F202B1"/>
    <w:rsid w:val="00F22E7A"/>
    <w:rsid w:val="00F26ECA"/>
    <w:rsid w:val="00F2700C"/>
    <w:rsid w:val="00F27673"/>
    <w:rsid w:val="00F3359F"/>
    <w:rsid w:val="00F64F4A"/>
    <w:rsid w:val="00F73A73"/>
    <w:rsid w:val="00F91A40"/>
    <w:rsid w:val="00F92FDB"/>
    <w:rsid w:val="00F950E6"/>
    <w:rsid w:val="00F952D0"/>
    <w:rsid w:val="00FA0250"/>
    <w:rsid w:val="00FA2049"/>
    <w:rsid w:val="00FA3DA4"/>
    <w:rsid w:val="00FB2CD2"/>
    <w:rsid w:val="00FC3493"/>
    <w:rsid w:val="00FC59B2"/>
    <w:rsid w:val="00FD19F0"/>
    <w:rsid w:val="00FD33B6"/>
    <w:rsid w:val="00FF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mn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92EF4"/>
  <w15:docId w15:val="{FB047AB2-ADF8-4CA0-8C3F-87BEE20F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2B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AB6"/>
  </w:style>
  <w:style w:type="paragraph" w:styleId="Piedepgina">
    <w:name w:val="footer"/>
    <w:basedOn w:val="Normal"/>
    <w:link w:val="PiedepginaCar"/>
    <w:uiPriority w:val="99"/>
    <w:unhideWhenUsed/>
    <w:rsid w:val="00826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AB6"/>
  </w:style>
  <w:style w:type="paragraph" w:styleId="Prrafodelista">
    <w:name w:val="List Paragraph"/>
    <w:basedOn w:val="Normal"/>
    <w:uiPriority w:val="34"/>
    <w:qFormat/>
    <w:rsid w:val="007F5AD1"/>
    <w:pPr>
      <w:spacing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7F5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7639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B4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039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86E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6E5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6E5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6E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6E51"/>
    <w:rPr>
      <w:b/>
      <w:bCs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C27EBF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56189-1108-4F80-9A6C-926889637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1026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Lara</dc:creator>
  <cp:lastModifiedBy>VERO VILLEGAS</cp:lastModifiedBy>
  <cp:revision>4</cp:revision>
  <cp:lastPrinted>2021-11-01T17:57:00Z</cp:lastPrinted>
  <dcterms:created xsi:type="dcterms:W3CDTF">2022-08-21T21:53:00Z</dcterms:created>
  <dcterms:modified xsi:type="dcterms:W3CDTF">2022-08-22T14:46:00Z</dcterms:modified>
</cp:coreProperties>
</file>